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53CBB" w14:textId="77777777" w:rsidR="00BA77D8" w:rsidRPr="00BA77D8" w:rsidRDefault="00BA77D8" w:rsidP="00BA77D8">
      <w:pPr>
        <w:rPr>
          <w:b/>
          <w:bCs/>
        </w:rPr>
      </w:pPr>
      <w:r w:rsidRPr="00BA77D8">
        <w:rPr>
          <w:b/>
          <w:bCs/>
        </w:rPr>
        <w:t xml:space="preserve">A LEGFONTOSABB ÚJ JOGSZABÁLYOK ÉS JOGSZABÁLYVÁLTOZÁSOK </w:t>
      </w:r>
    </w:p>
    <w:p w14:paraId="6EDBB230" w14:textId="479DEE29" w:rsidR="002243E0" w:rsidRPr="00BA77D8" w:rsidRDefault="00BA77D8">
      <w:pPr>
        <w:rPr>
          <w:b/>
          <w:bCs/>
        </w:rPr>
      </w:pPr>
      <w:r w:rsidRPr="00BA77D8">
        <w:rPr>
          <w:b/>
          <w:bCs/>
        </w:rPr>
        <w:t xml:space="preserve">2025 </w:t>
      </w:r>
      <w:r w:rsidRPr="00BA77D8">
        <w:rPr>
          <w:b/>
          <w:bCs/>
        </w:rPr>
        <w:t xml:space="preserve">SZEPTEMBERÉBEN </w:t>
      </w:r>
    </w:p>
    <w:p w14:paraId="54B87C1D" w14:textId="77777777" w:rsidR="006A44D9" w:rsidRPr="005952A7" w:rsidRDefault="006A44D9" w:rsidP="006A44D9">
      <w:pPr>
        <w:jc w:val="both"/>
      </w:pPr>
      <w:r w:rsidRPr="005952A7">
        <w:rPr>
          <w:b/>
          <w:bCs/>
        </w:rPr>
        <w:t> </w:t>
      </w:r>
    </w:p>
    <w:p w14:paraId="447E3EC0" w14:textId="77777777" w:rsidR="006A44D9" w:rsidRPr="005952A7" w:rsidRDefault="006A44D9" w:rsidP="006A44D9">
      <w:pPr>
        <w:jc w:val="both"/>
      </w:pPr>
      <w:r w:rsidRPr="005952A7">
        <w:rPr>
          <w:b/>
          <w:bCs/>
        </w:rPr>
        <w:t> TARTALOMJEGYZÉK</w:t>
      </w:r>
    </w:p>
    <w:p w14:paraId="3A3A19E7" w14:textId="77777777" w:rsidR="006A44D9" w:rsidRPr="005952A7" w:rsidRDefault="006A44D9" w:rsidP="006A44D9">
      <w:pPr>
        <w:jc w:val="both"/>
      </w:pPr>
      <w:r w:rsidRPr="005952A7">
        <w:rPr>
          <w:b/>
          <w:bCs/>
        </w:rPr>
        <w:t> </w:t>
      </w:r>
    </w:p>
    <w:p w14:paraId="620077B3" w14:textId="77777777" w:rsidR="006A44D9" w:rsidRPr="005952A7" w:rsidRDefault="006A44D9" w:rsidP="006A44D9">
      <w:pPr>
        <w:numPr>
          <w:ilvl w:val="0"/>
          <w:numId w:val="1"/>
        </w:numPr>
        <w:jc w:val="both"/>
      </w:pPr>
      <w:r w:rsidRPr="005952A7">
        <w:rPr>
          <w:b/>
          <w:bCs/>
        </w:rPr>
        <w:t>EGÉSZSÉGINFORMATIKA</w:t>
      </w:r>
    </w:p>
    <w:p w14:paraId="46FD047D" w14:textId="77777777" w:rsidR="006A44D9" w:rsidRPr="005952A7" w:rsidRDefault="006A44D9" w:rsidP="006A44D9">
      <w:pPr>
        <w:numPr>
          <w:ilvl w:val="0"/>
          <w:numId w:val="1"/>
        </w:numPr>
        <w:jc w:val="both"/>
      </w:pPr>
      <w:r w:rsidRPr="005952A7">
        <w:rPr>
          <w:b/>
          <w:bCs/>
        </w:rPr>
        <w:t>HULLADÉKGAZDÁLKODÁS</w:t>
      </w:r>
    </w:p>
    <w:p w14:paraId="73A20FEA" w14:textId="77777777" w:rsidR="006A44D9" w:rsidRPr="005952A7" w:rsidRDefault="006A44D9" w:rsidP="006A44D9">
      <w:pPr>
        <w:numPr>
          <w:ilvl w:val="0"/>
          <w:numId w:val="1"/>
        </w:numPr>
        <w:jc w:val="both"/>
      </w:pPr>
      <w:r w:rsidRPr="005952A7">
        <w:rPr>
          <w:b/>
          <w:bCs/>
        </w:rPr>
        <w:t>KÖNYVVIZSGÁLAT</w:t>
      </w:r>
    </w:p>
    <w:p w14:paraId="2B49826A" w14:textId="77777777" w:rsidR="006A44D9" w:rsidRPr="005952A7" w:rsidRDefault="006A44D9" w:rsidP="006A44D9">
      <w:pPr>
        <w:numPr>
          <w:ilvl w:val="0"/>
          <w:numId w:val="1"/>
        </w:numPr>
        <w:jc w:val="both"/>
      </w:pPr>
      <w:r w:rsidRPr="005952A7">
        <w:rPr>
          <w:b/>
          <w:bCs/>
        </w:rPr>
        <w:t>MESTERSÉGES INTELLIGENCIA</w:t>
      </w:r>
    </w:p>
    <w:p w14:paraId="3E1CE078" w14:textId="77777777" w:rsidR="006A44D9" w:rsidRPr="005952A7" w:rsidRDefault="006A44D9" w:rsidP="006A44D9">
      <w:pPr>
        <w:numPr>
          <w:ilvl w:val="0"/>
          <w:numId w:val="1"/>
        </w:numPr>
        <w:jc w:val="both"/>
      </w:pPr>
      <w:r w:rsidRPr="005952A7">
        <w:rPr>
          <w:b/>
          <w:bCs/>
        </w:rPr>
        <w:t>TÜKÖRINTÉZKEDÉSEK</w:t>
      </w:r>
    </w:p>
    <w:p w14:paraId="74DC2BC4" w14:textId="77777777" w:rsidR="006A44D9" w:rsidRPr="005952A7" w:rsidRDefault="006A44D9" w:rsidP="006A44D9">
      <w:pPr>
        <w:numPr>
          <w:ilvl w:val="0"/>
          <w:numId w:val="1"/>
        </w:numPr>
        <w:jc w:val="both"/>
      </w:pPr>
      <w:r w:rsidRPr="005952A7">
        <w:rPr>
          <w:b/>
          <w:bCs/>
        </w:rPr>
        <w:t>VILLAMOSENERGIA</w:t>
      </w:r>
    </w:p>
    <w:p w14:paraId="3D87E5AE" w14:textId="77777777" w:rsidR="006A44D9" w:rsidRPr="005952A7" w:rsidRDefault="006A44D9" w:rsidP="006A44D9">
      <w:pPr>
        <w:jc w:val="both"/>
      </w:pPr>
      <w:r w:rsidRPr="005952A7">
        <w:rPr>
          <w:b/>
          <w:bCs/>
        </w:rPr>
        <w:t> </w:t>
      </w:r>
    </w:p>
    <w:p w14:paraId="21831835" w14:textId="77777777" w:rsidR="006A44D9" w:rsidRPr="005952A7" w:rsidRDefault="006A44D9" w:rsidP="006A44D9">
      <w:pPr>
        <w:numPr>
          <w:ilvl w:val="0"/>
          <w:numId w:val="2"/>
        </w:numPr>
        <w:jc w:val="both"/>
      </w:pPr>
      <w:r w:rsidRPr="005952A7">
        <w:rPr>
          <w:b/>
          <w:bCs/>
        </w:rPr>
        <w:t>EGÉSZSÉGINFORMATIKA</w:t>
      </w:r>
    </w:p>
    <w:p w14:paraId="3D44747B" w14:textId="77777777" w:rsidR="006A44D9" w:rsidRPr="005952A7" w:rsidRDefault="006A44D9" w:rsidP="006A44D9">
      <w:pPr>
        <w:jc w:val="both"/>
      </w:pPr>
      <w:r w:rsidRPr="005952A7">
        <w:rPr>
          <w:b/>
          <w:bCs/>
        </w:rPr>
        <w:t>294/2025. (IX. 25.) Korm. rendelet a központi egészséginformatikai szolgáltatásokról szóló </w:t>
      </w:r>
      <w:hyperlink r:id="rId5" w:tgtFrame="_blank" w:history="1">
        <w:r w:rsidRPr="005952A7">
          <w:rPr>
            <w:rStyle w:val="Hiperhivatkozs"/>
            <w:b/>
            <w:bCs/>
          </w:rPr>
          <w:t>29/2022. (I. 31.) Korm. rendelet</w:t>
        </w:r>
      </w:hyperlink>
      <w:r w:rsidRPr="005952A7">
        <w:rPr>
          <w:b/>
          <w:bCs/>
        </w:rPr>
        <w:t> módosításáról</w:t>
      </w:r>
    </w:p>
    <w:p w14:paraId="06357A9D" w14:textId="77777777" w:rsidR="006A44D9" w:rsidRPr="005952A7" w:rsidRDefault="006A44D9" w:rsidP="006A44D9">
      <w:pPr>
        <w:jc w:val="both"/>
      </w:pPr>
      <w:r w:rsidRPr="005952A7">
        <w:t>[1] A Kormány elkötelezett az egészségügyi adatvagyon biztonságos gyarapítása és megőrzése mellett, mely cél elérését szolgálja az Elektronikus Egészségügyi Szolgáltatási Térhez való csatlakozásra használható intézményi informatikai rendszerekkel kapcsolatos ellenőrzések hatékonyságának növelése, az ezen rendszereket fejlesztőkkel szemben támasztott magas szintű szakmai és adatbiztonsági követelmények érvényesítése, a műszaki bevizsgálást végző ellenőrzési szerepkörének erősítése és az adatszolgáltatások folyamatos megfelelő műszaki színvonalának biztosítása.</w:t>
      </w:r>
    </w:p>
    <w:p w14:paraId="4CAD8A0A" w14:textId="77777777" w:rsidR="006A44D9" w:rsidRPr="005952A7" w:rsidRDefault="006A44D9" w:rsidP="006A44D9">
      <w:pPr>
        <w:jc w:val="both"/>
      </w:pPr>
      <w:r w:rsidRPr="005952A7">
        <w:rPr>
          <w:b/>
          <w:bCs/>
        </w:rPr>
        <w:t> </w:t>
      </w:r>
    </w:p>
    <w:p w14:paraId="38957388" w14:textId="77777777" w:rsidR="006A44D9" w:rsidRPr="005952A7" w:rsidRDefault="006A44D9" w:rsidP="006A44D9">
      <w:pPr>
        <w:numPr>
          <w:ilvl w:val="0"/>
          <w:numId w:val="3"/>
        </w:numPr>
        <w:jc w:val="both"/>
      </w:pPr>
      <w:r w:rsidRPr="005952A7">
        <w:rPr>
          <w:b/>
          <w:bCs/>
        </w:rPr>
        <w:t>HULLADÉKGAZDÁLKODÁS</w:t>
      </w:r>
    </w:p>
    <w:p w14:paraId="587DF056" w14:textId="77777777" w:rsidR="006A44D9" w:rsidRPr="005952A7" w:rsidRDefault="006A44D9" w:rsidP="006A44D9">
      <w:pPr>
        <w:jc w:val="both"/>
      </w:pPr>
      <w:r w:rsidRPr="005952A7">
        <w:rPr>
          <w:b/>
          <w:bCs/>
        </w:rPr>
        <w:t>292/2025. (IX. 18.) Korm. rendelet a hulladékgazdálkodás területét érintő egyes díjképzési szabályok veszélyhelyzet idején történő eltérő alkalmazásáról</w:t>
      </w:r>
    </w:p>
    <w:p w14:paraId="7279FB77" w14:textId="77777777" w:rsidR="006A44D9" w:rsidRPr="005952A7" w:rsidRDefault="006A44D9" w:rsidP="006A44D9">
      <w:pPr>
        <w:jc w:val="both"/>
      </w:pPr>
      <w:r w:rsidRPr="005952A7">
        <w:t>[1] A rendelet célja lehetőséget teremteni a hulladékgazdálkodásért felelős miniszter számára, hogy a hulladékgazdálkodási közszolgáltatási résztevékenység, illetve a hulladékgazdálkodási intézményi résztevékenység vonatkozásában meghatározott díjakat a tárgyév során módosítsa.</w:t>
      </w:r>
    </w:p>
    <w:p w14:paraId="4CB0F778" w14:textId="77777777" w:rsidR="006A44D9" w:rsidRPr="005952A7" w:rsidRDefault="006A44D9" w:rsidP="006A44D9">
      <w:pPr>
        <w:jc w:val="both"/>
      </w:pPr>
      <w:r w:rsidRPr="005952A7">
        <w:rPr>
          <w:b/>
          <w:bCs/>
        </w:rPr>
        <w:t> </w:t>
      </w:r>
    </w:p>
    <w:p w14:paraId="3C129E85" w14:textId="77777777" w:rsidR="006A44D9" w:rsidRPr="005952A7" w:rsidRDefault="006A44D9" w:rsidP="006A44D9">
      <w:pPr>
        <w:numPr>
          <w:ilvl w:val="0"/>
          <w:numId w:val="4"/>
        </w:numPr>
        <w:jc w:val="both"/>
      </w:pPr>
      <w:r w:rsidRPr="005952A7">
        <w:rPr>
          <w:b/>
          <w:bCs/>
        </w:rPr>
        <w:lastRenderedPageBreak/>
        <w:t>KÖNYVVIZSGÁLAT</w:t>
      </w:r>
    </w:p>
    <w:p w14:paraId="31582BAF" w14:textId="77777777" w:rsidR="006A44D9" w:rsidRPr="005952A7" w:rsidRDefault="006A44D9" w:rsidP="006A44D9">
      <w:pPr>
        <w:jc w:val="both"/>
      </w:pPr>
      <w:r w:rsidRPr="005952A7">
        <w:rPr>
          <w:b/>
          <w:bCs/>
        </w:rPr>
        <w:t>29/2025. (IX. 3.) NGM rendelet </w:t>
      </w:r>
      <w:r w:rsidRPr="005952A7">
        <w:t>a könyvvizsgálói közfelügyeleti feladatokat ellátó hatóság által lefolytatott minőségellenőrzésekkel összefüggő tevékenységek szabályozásáról</w:t>
      </w:r>
    </w:p>
    <w:p w14:paraId="1E90AA79" w14:textId="77777777" w:rsidR="006A44D9" w:rsidRPr="005952A7" w:rsidRDefault="006A44D9" w:rsidP="006A44D9">
      <w:pPr>
        <w:jc w:val="both"/>
      </w:pPr>
      <w:r w:rsidRPr="005952A7">
        <w:t>[1] E rendelet célja az Egységes Kormányzati Portálon évente közzétett minőségellenőrzési kérdőívek értékelésének hosszú távú szabályozása, amely független az alapul szolgáló könyvvizsgálati standardok és így a minőségellenőrzési kérdőívek változásainak hatásaitól. Emellett további cél a közfelügyeleti hatóság által lefolytatott minőségellenőrzésekre irányadó részletszabályok aktualizálása, valamint a fenntarthatósági bizonyosság nyújtásáról szóló megbízások minőségellenőrzésére vonatkozó részletszabályok meghatározása.</w:t>
      </w:r>
    </w:p>
    <w:p w14:paraId="2EE8ABE4" w14:textId="77777777" w:rsidR="006A44D9" w:rsidRPr="005952A7" w:rsidRDefault="006A44D9" w:rsidP="006A44D9">
      <w:pPr>
        <w:numPr>
          <w:ilvl w:val="0"/>
          <w:numId w:val="5"/>
        </w:numPr>
        <w:jc w:val="both"/>
      </w:pPr>
      <w:r w:rsidRPr="005952A7">
        <w:rPr>
          <w:b/>
          <w:bCs/>
        </w:rPr>
        <w:t>MESTERSÉGES INTELLIGENCIA</w:t>
      </w:r>
    </w:p>
    <w:p w14:paraId="2F170BB1" w14:textId="77777777" w:rsidR="006A44D9" w:rsidRPr="005952A7" w:rsidRDefault="006A44D9" w:rsidP="006A44D9">
      <w:pPr>
        <w:jc w:val="both"/>
      </w:pPr>
      <w:r w:rsidRPr="005952A7">
        <w:rPr>
          <w:b/>
          <w:bCs/>
        </w:rPr>
        <w:t>1324/2025. (IX. 3.) Korm. határozat </w:t>
      </w:r>
      <w:r w:rsidRPr="005952A7">
        <w:t>Magyarország Mesterséges Intelligencia Stratégiájának megújításáról, valamint a végrehajtásához szükséges egyes intézkedésekről (2025–2030)</w:t>
      </w:r>
    </w:p>
    <w:p w14:paraId="2228522E" w14:textId="77777777" w:rsidR="006A44D9" w:rsidRPr="005952A7" w:rsidRDefault="006A44D9" w:rsidP="006A44D9">
      <w:pPr>
        <w:jc w:val="both"/>
      </w:pPr>
      <w:r w:rsidRPr="005952A7">
        <w:t>A Kormány</w:t>
      </w:r>
    </w:p>
    <w:p w14:paraId="7FE5701F" w14:textId="77777777" w:rsidR="006A44D9" w:rsidRPr="005952A7" w:rsidRDefault="006A44D9" w:rsidP="006A44D9">
      <w:pPr>
        <w:numPr>
          <w:ilvl w:val="0"/>
          <w:numId w:val="6"/>
        </w:numPr>
        <w:jc w:val="both"/>
      </w:pPr>
      <w:r w:rsidRPr="005952A7">
        <w:t>elfogadja Magyarország új Mesterséges Intelligencia Stratégiáját (a továbbiakban: Stratégia), és felhívja a nemzetgazdasági minisztert, valamint a mesterséges intelligenciáért felelős kormánybiztost, hogy gondoskodjon a Stratégia kormányzati honlapon történő közzétételéről;</w:t>
      </w:r>
    </w:p>
    <w:p w14:paraId="200B450F" w14:textId="77777777" w:rsidR="006A44D9" w:rsidRPr="005952A7" w:rsidRDefault="006A44D9" w:rsidP="006A44D9">
      <w:pPr>
        <w:numPr>
          <w:ilvl w:val="0"/>
          <w:numId w:val="6"/>
        </w:numPr>
        <w:jc w:val="both"/>
      </w:pPr>
      <w:r w:rsidRPr="005952A7">
        <w:t>felhívja a nemzetgazdasági minisztert és a mesterséges intelligenciáért felelős kormánybiztost, hogy az érintett miniszterek bevonásával biztosítsák a meglévő és tervezett ágazati, szakpolitikai és intézményi stratégiák illeszkedését a Stratégia célrendszeréhez, és a jelen kormányhatározat végrehajtása során a Stratégia szerinti Intézkedési tervben foglaltak szerint járjanak el;</w:t>
      </w:r>
    </w:p>
    <w:p w14:paraId="6B650439" w14:textId="77777777" w:rsidR="006A44D9" w:rsidRPr="005952A7" w:rsidRDefault="006A44D9" w:rsidP="006A44D9">
      <w:pPr>
        <w:numPr>
          <w:ilvl w:val="0"/>
          <w:numId w:val="7"/>
        </w:numPr>
        <w:jc w:val="both"/>
      </w:pPr>
      <w:r w:rsidRPr="005952A7">
        <w:rPr>
          <w:b/>
          <w:bCs/>
        </w:rPr>
        <w:t>TÜKÖRINTÉZKEDÉSEK</w:t>
      </w:r>
    </w:p>
    <w:p w14:paraId="1D5FEC41" w14:textId="77777777" w:rsidR="006A44D9" w:rsidRPr="005952A7" w:rsidRDefault="006A44D9" w:rsidP="006A44D9">
      <w:pPr>
        <w:jc w:val="both"/>
      </w:pPr>
      <w:r w:rsidRPr="005952A7">
        <w:rPr>
          <w:b/>
          <w:bCs/>
        </w:rPr>
        <w:t>298/2025. (IX. 29.) Korm. rendelet tükörintézkedések bevezetéséről</w:t>
      </w:r>
    </w:p>
    <w:p w14:paraId="03F742AC" w14:textId="77777777" w:rsidR="006A44D9" w:rsidRPr="005952A7" w:rsidRDefault="006A44D9" w:rsidP="006A44D9">
      <w:pPr>
        <w:jc w:val="both"/>
      </w:pPr>
      <w:r w:rsidRPr="005952A7">
        <w:t>[1] A nemzeti kormány háborúellenes politikája miatt Magyarország szuverenitását rendkívül intenzív támadások érik. A külföldi beavatkozás a magyar belpolitikában és közéletben számos ponton egyértelműen tetten érhető. Ennek célja egyértelmű: eltávolítani és elhallgattatni a nemzeti kormányt, majd helyébe egy olyan bábkormányt ültetni, amely hajlandó Magyarországot is belesodorni a háborúba, és feltétel nélkül támogatni Ukrajna uniós tagságát, valamint uniós finanszírozását.</w:t>
      </w:r>
    </w:p>
    <w:p w14:paraId="3FC577C8" w14:textId="77777777" w:rsidR="006A44D9" w:rsidRPr="005952A7" w:rsidRDefault="006A44D9" w:rsidP="006A44D9">
      <w:pPr>
        <w:jc w:val="both"/>
      </w:pPr>
      <w:r w:rsidRPr="005952A7">
        <w:t>[2] Magyarország Kormánya válaszul – arra reagálva, hogy e támadások részeként Ukrajna magyar honlapokat blokkolt – az alábbi rendelettel lehetővé teszi tükörintézkedések meghozatalát.</w:t>
      </w:r>
    </w:p>
    <w:p w14:paraId="15910F72" w14:textId="77777777" w:rsidR="006A44D9" w:rsidRPr="005952A7" w:rsidRDefault="006A44D9" w:rsidP="006A44D9">
      <w:pPr>
        <w:numPr>
          <w:ilvl w:val="0"/>
          <w:numId w:val="8"/>
        </w:numPr>
        <w:jc w:val="both"/>
      </w:pPr>
      <w:r w:rsidRPr="005952A7">
        <w:rPr>
          <w:b/>
          <w:bCs/>
        </w:rPr>
        <w:lastRenderedPageBreak/>
        <w:t>VILLAMOSENERGIA</w:t>
      </w:r>
    </w:p>
    <w:p w14:paraId="790A4F71" w14:textId="77777777" w:rsidR="006A44D9" w:rsidRPr="005952A7" w:rsidRDefault="006A44D9" w:rsidP="006A44D9">
      <w:pPr>
        <w:jc w:val="both"/>
      </w:pPr>
      <w:r w:rsidRPr="005952A7">
        <w:rPr>
          <w:b/>
          <w:bCs/>
        </w:rPr>
        <w:t>14/2025. (IX. 3.) MEKH rendelet </w:t>
      </w:r>
      <w:r w:rsidRPr="005952A7">
        <w:t>a közép- és nagyfeszültségű, legalább 0,5 MW névleges teljesítőképességű, időjárásfüggő termelőberendezések és villamosenergia-tárolók számára rendelkezésre álló betáplálási irányú csatlakozások műszaki gazdasági adatainak közzétételéről</w:t>
      </w:r>
    </w:p>
    <w:p w14:paraId="1B96A9C0" w14:textId="77777777" w:rsidR="006A44D9" w:rsidRPr="005952A7" w:rsidRDefault="006A44D9" w:rsidP="006A44D9">
      <w:pPr>
        <w:jc w:val="both"/>
      </w:pPr>
      <w:r w:rsidRPr="005952A7">
        <w:t>[1] A betáplálási irányú csatlakozásokra vonatkozó adatok közzététele segíti azon beruházók tájékoztatását, akik meglévő, de más beruházók által megvalósított csatlakozási ponton terveznek betáplálási irányú termelő- és tárolóberendezéseket létesíteni, melynek következtében a meglévő betáplálási irányú rendelkezésre álló teljesítmény lehető legjobb kihasználtságát lehet elérni.</w:t>
      </w:r>
    </w:p>
    <w:p w14:paraId="6AFA1B6C" w14:textId="77777777" w:rsidR="00BA77D8" w:rsidRDefault="00BA77D8"/>
    <w:sectPr w:rsidR="00BA77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313A0"/>
    <w:multiLevelType w:val="multilevel"/>
    <w:tmpl w:val="438806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736E1A"/>
    <w:multiLevelType w:val="multilevel"/>
    <w:tmpl w:val="449A3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0D3D94"/>
    <w:multiLevelType w:val="multilevel"/>
    <w:tmpl w:val="1700A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D00591"/>
    <w:multiLevelType w:val="multilevel"/>
    <w:tmpl w:val="91CE32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780149"/>
    <w:multiLevelType w:val="multilevel"/>
    <w:tmpl w:val="180E21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6E060C"/>
    <w:multiLevelType w:val="multilevel"/>
    <w:tmpl w:val="40008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E27A66"/>
    <w:multiLevelType w:val="multilevel"/>
    <w:tmpl w:val="BA4A2F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BC5076"/>
    <w:multiLevelType w:val="multilevel"/>
    <w:tmpl w:val="185C07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3764222">
    <w:abstractNumId w:val="1"/>
  </w:num>
  <w:num w:numId="2" w16cid:durableId="1275480580">
    <w:abstractNumId w:val="2"/>
  </w:num>
  <w:num w:numId="3" w16cid:durableId="1829402818">
    <w:abstractNumId w:val="3"/>
  </w:num>
  <w:num w:numId="4" w16cid:durableId="147750422">
    <w:abstractNumId w:val="7"/>
  </w:num>
  <w:num w:numId="5" w16cid:durableId="1968313043">
    <w:abstractNumId w:val="4"/>
  </w:num>
  <w:num w:numId="6" w16cid:durableId="1698264976">
    <w:abstractNumId w:val="5"/>
  </w:num>
  <w:num w:numId="7" w16cid:durableId="1053232504">
    <w:abstractNumId w:val="0"/>
  </w:num>
  <w:num w:numId="8" w16cid:durableId="11983534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D8"/>
    <w:rsid w:val="000219F8"/>
    <w:rsid w:val="002243E0"/>
    <w:rsid w:val="004F1A91"/>
    <w:rsid w:val="006A44D9"/>
    <w:rsid w:val="006B715C"/>
    <w:rsid w:val="00BA77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746F"/>
  <w15:chartTrackingRefBased/>
  <w15:docId w15:val="{2DA076C0-31DF-4952-BCA4-4B2F7AE3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BA7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BA7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BA77D8"/>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BA77D8"/>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BA77D8"/>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BA77D8"/>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BA77D8"/>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BA77D8"/>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BA77D8"/>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A77D8"/>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BA77D8"/>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BA77D8"/>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BA77D8"/>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BA77D8"/>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BA77D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BA77D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BA77D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BA77D8"/>
    <w:rPr>
      <w:rFonts w:eastAsiaTheme="majorEastAsia" w:cstheme="majorBidi"/>
      <w:color w:val="272727" w:themeColor="text1" w:themeTint="D8"/>
    </w:rPr>
  </w:style>
  <w:style w:type="paragraph" w:styleId="Cm">
    <w:name w:val="Title"/>
    <w:basedOn w:val="Norml"/>
    <w:next w:val="Norml"/>
    <w:link w:val="CmChar"/>
    <w:uiPriority w:val="10"/>
    <w:qFormat/>
    <w:rsid w:val="00BA7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BA77D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BA77D8"/>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BA77D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BA77D8"/>
    <w:pPr>
      <w:spacing w:before="160"/>
      <w:jc w:val="center"/>
    </w:pPr>
    <w:rPr>
      <w:i/>
      <w:iCs/>
      <w:color w:val="404040" w:themeColor="text1" w:themeTint="BF"/>
    </w:rPr>
  </w:style>
  <w:style w:type="character" w:customStyle="1" w:styleId="IdzetChar">
    <w:name w:val="Idézet Char"/>
    <w:basedOn w:val="Bekezdsalapbettpusa"/>
    <w:link w:val="Idzet"/>
    <w:uiPriority w:val="29"/>
    <w:rsid w:val="00BA77D8"/>
    <w:rPr>
      <w:i/>
      <w:iCs/>
      <w:color w:val="404040" w:themeColor="text1" w:themeTint="BF"/>
    </w:rPr>
  </w:style>
  <w:style w:type="paragraph" w:styleId="Listaszerbekezds">
    <w:name w:val="List Paragraph"/>
    <w:basedOn w:val="Norml"/>
    <w:uiPriority w:val="34"/>
    <w:qFormat/>
    <w:rsid w:val="00BA77D8"/>
    <w:pPr>
      <w:ind w:left="720"/>
      <w:contextualSpacing/>
    </w:pPr>
  </w:style>
  <w:style w:type="character" w:styleId="Erskiemels">
    <w:name w:val="Intense Emphasis"/>
    <w:basedOn w:val="Bekezdsalapbettpusa"/>
    <w:uiPriority w:val="21"/>
    <w:qFormat/>
    <w:rsid w:val="00BA77D8"/>
    <w:rPr>
      <w:i/>
      <w:iCs/>
      <w:color w:val="0F4761" w:themeColor="accent1" w:themeShade="BF"/>
    </w:rPr>
  </w:style>
  <w:style w:type="paragraph" w:styleId="Kiemeltidzet">
    <w:name w:val="Intense Quote"/>
    <w:basedOn w:val="Norml"/>
    <w:next w:val="Norml"/>
    <w:link w:val="KiemeltidzetChar"/>
    <w:uiPriority w:val="30"/>
    <w:qFormat/>
    <w:rsid w:val="00BA7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BA77D8"/>
    <w:rPr>
      <w:i/>
      <w:iCs/>
      <w:color w:val="0F4761" w:themeColor="accent1" w:themeShade="BF"/>
    </w:rPr>
  </w:style>
  <w:style w:type="character" w:styleId="Ershivatkozs">
    <w:name w:val="Intense Reference"/>
    <w:basedOn w:val="Bekezdsalapbettpusa"/>
    <w:uiPriority w:val="32"/>
    <w:qFormat/>
    <w:rsid w:val="00BA77D8"/>
    <w:rPr>
      <w:b/>
      <w:bCs/>
      <w:smallCaps/>
      <w:color w:val="0F4761" w:themeColor="accent1" w:themeShade="BF"/>
      <w:spacing w:val="5"/>
    </w:rPr>
  </w:style>
  <w:style w:type="character" w:styleId="Hiperhivatkozs">
    <w:name w:val="Hyperlink"/>
    <w:basedOn w:val="Bekezdsalapbettpusa"/>
    <w:uiPriority w:val="99"/>
    <w:unhideWhenUsed/>
    <w:rsid w:val="006A44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jt.hu/jogszabaly/2022-29-20-22"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564</Words>
  <Characters>3899</Characters>
  <Application>Microsoft Office Word</Application>
  <DocSecurity>0</DocSecurity>
  <Lines>32</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Keresztes Anita</dc:creator>
  <cp:keywords/>
  <dc:description/>
  <cp:lastModifiedBy>Keresztes Anita</cp:lastModifiedBy>
  <cp:revision>2</cp:revision>
  <dcterms:created xsi:type="dcterms:W3CDTF">2026-02-20T13:32:00Z</dcterms:created>
  <dcterms:modified xsi:type="dcterms:W3CDTF">2026-02-20T13:35:00Z</dcterms:modified>
</cp:coreProperties>
</file>