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E7F43" w14:textId="77777777" w:rsidR="00E655B8" w:rsidRPr="00053C97" w:rsidRDefault="00E655B8" w:rsidP="00E655B8">
      <w:pPr>
        <w:rPr>
          <w:b/>
          <w:bCs/>
        </w:rPr>
      </w:pPr>
      <w:r w:rsidRPr="00053C97">
        <w:rPr>
          <w:b/>
          <w:bCs/>
        </w:rPr>
        <w:t xml:space="preserve">A LEGFONTOSABB ÚJ JOGSZABÁLYOK ÉS JOGSZABÁLYVÁLTOZÁSOK </w:t>
      </w:r>
    </w:p>
    <w:p w14:paraId="19D898BD" w14:textId="0175EBE2" w:rsidR="002243E0" w:rsidRDefault="00E655B8">
      <w:pPr>
        <w:rPr>
          <w:b/>
          <w:bCs/>
        </w:rPr>
      </w:pPr>
      <w:r w:rsidRPr="00053C97">
        <w:rPr>
          <w:b/>
          <w:bCs/>
        </w:rPr>
        <w:t xml:space="preserve">2025 </w:t>
      </w:r>
      <w:r>
        <w:rPr>
          <w:b/>
          <w:bCs/>
        </w:rPr>
        <w:t>ŐSZÉN</w:t>
      </w:r>
    </w:p>
    <w:p w14:paraId="721A80BD" w14:textId="77777777" w:rsidR="00E655B8" w:rsidRDefault="00E655B8" w:rsidP="00E655B8">
      <w:pPr>
        <w:jc w:val="both"/>
        <w:rPr>
          <w:b/>
          <w:bCs/>
        </w:rPr>
      </w:pPr>
    </w:p>
    <w:p w14:paraId="35A20FD3" w14:textId="1FFE193A" w:rsidR="00E655B8" w:rsidRPr="005952A7" w:rsidRDefault="00E655B8" w:rsidP="00E655B8">
      <w:pPr>
        <w:jc w:val="both"/>
      </w:pPr>
      <w:r w:rsidRPr="005952A7">
        <w:rPr>
          <w:b/>
          <w:bCs/>
        </w:rPr>
        <w:t>TARTALOM</w:t>
      </w:r>
    </w:p>
    <w:p w14:paraId="2545D4B7" w14:textId="77777777" w:rsidR="00E655B8" w:rsidRPr="005952A7" w:rsidRDefault="00E655B8" w:rsidP="00E655B8">
      <w:pPr>
        <w:numPr>
          <w:ilvl w:val="0"/>
          <w:numId w:val="1"/>
        </w:numPr>
        <w:jc w:val="both"/>
      </w:pPr>
      <w:r w:rsidRPr="005952A7">
        <w:t>Atomenergia</w:t>
      </w:r>
    </w:p>
    <w:p w14:paraId="02FE39C4" w14:textId="77777777" w:rsidR="00E655B8" w:rsidRPr="005952A7" w:rsidRDefault="00E655B8" w:rsidP="00E655B8">
      <w:pPr>
        <w:numPr>
          <w:ilvl w:val="0"/>
          <w:numId w:val="1"/>
        </w:numPr>
        <w:jc w:val="both"/>
      </w:pPr>
      <w:r w:rsidRPr="005952A7">
        <w:t>Beruházás</w:t>
      </w:r>
    </w:p>
    <w:p w14:paraId="6DFABA0A" w14:textId="77777777" w:rsidR="00E655B8" w:rsidRPr="005952A7" w:rsidRDefault="00E655B8" w:rsidP="00E655B8">
      <w:pPr>
        <w:numPr>
          <w:ilvl w:val="0"/>
          <w:numId w:val="1"/>
        </w:numPr>
        <w:jc w:val="both"/>
      </w:pPr>
      <w:r w:rsidRPr="005952A7">
        <w:t>Egészségügy</w:t>
      </w:r>
    </w:p>
    <w:p w14:paraId="46C0076C" w14:textId="77777777" w:rsidR="00E655B8" w:rsidRPr="005952A7" w:rsidRDefault="00E655B8" w:rsidP="00E655B8">
      <w:pPr>
        <w:numPr>
          <w:ilvl w:val="0"/>
          <w:numId w:val="1"/>
        </w:numPr>
        <w:jc w:val="both"/>
      </w:pPr>
      <w:r w:rsidRPr="005952A7">
        <w:t>Egyes védelmi ipari társaságok</w:t>
      </w:r>
    </w:p>
    <w:p w14:paraId="4FE99978" w14:textId="77777777" w:rsidR="00E655B8" w:rsidRPr="005952A7" w:rsidRDefault="00E655B8" w:rsidP="00E655B8">
      <w:pPr>
        <w:numPr>
          <w:ilvl w:val="0"/>
          <w:numId w:val="1"/>
        </w:numPr>
        <w:jc w:val="both"/>
      </w:pPr>
      <w:r w:rsidRPr="005952A7">
        <w:t>Felszámolások</w:t>
      </w:r>
    </w:p>
    <w:p w14:paraId="4FB16543" w14:textId="77777777" w:rsidR="00E655B8" w:rsidRPr="005952A7" w:rsidRDefault="00E655B8" w:rsidP="00E655B8">
      <w:pPr>
        <w:numPr>
          <w:ilvl w:val="0"/>
          <w:numId w:val="1"/>
        </w:numPr>
        <w:jc w:val="both"/>
      </w:pPr>
      <w:r w:rsidRPr="005952A7">
        <w:t>Gazdaságfejlesztési célú és munkahelyteremtő beruházások</w:t>
      </w:r>
    </w:p>
    <w:p w14:paraId="63869EEB" w14:textId="77777777" w:rsidR="00E655B8" w:rsidRPr="005952A7" w:rsidRDefault="00E655B8" w:rsidP="00E655B8">
      <w:pPr>
        <w:numPr>
          <w:ilvl w:val="0"/>
          <w:numId w:val="1"/>
        </w:numPr>
        <w:jc w:val="both"/>
      </w:pPr>
      <w:r w:rsidRPr="005952A7">
        <w:t>Hátrányos helyzetű települések</w:t>
      </w:r>
    </w:p>
    <w:p w14:paraId="3E8B8692" w14:textId="77777777" w:rsidR="00E655B8" w:rsidRPr="005952A7" w:rsidRDefault="00E655B8" w:rsidP="00E655B8">
      <w:pPr>
        <w:numPr>
          <w:ilvl w:val="0"/>
          <w:numId w:val="1"/>
        </w:numPr>
        <w:jc w:val="both"/>
      </w:pPr>
      <w:r w:rsidRPr="005952A7">
        <w:t>Hulladékgazdálkodás</w:t>
      </w:r>
    </w:p>
    <w:p w14:paraId="09B669C8" w14:textId="77777777" w:rsidR="00E655B8" w:rsidRPr="005952A7" w:rsidRDefault="00E655B8" w:rsidP="00E655B8">
      <w:pPr>
        <w:numPr>
          <w:ilvl w:val="0"/>
          <w:numId w:val="1"/>
        </w:numPr>
        <w:jc w:val="both"/>
      </w:pPr>
      <w:r w:rsidRPr="005952A7">
        <w:t>Interreg programok</w:t>
      </w:r>
    </w:p>
    <w:p w14:paraId="3604CFDC" w14:textId="77777777" w:rsidR="00E655B8" w:rsidRPr="005952A7" w:rsidRDefault="00E655B8" w:rsidP="00E655B8">
      <w:pPr>
        <w:numPr>
          <w:ilvl w:val="0"/>
          <w:numId w:val="1"/>
        </w:numPr>
        <w:jc w:val="both"/>
      </w:pPr>
      <w:r w:rsidRPr="005952A7">
        <w:t>Iparbiztonság</w:t>
      </w:r>
    </w:p>
    <w:p w14:paraId="71A6F938" w14:textId="77777777" w:rsidR="00E655B8" w:rsidRPr="005952A7" w:rsidRDefault="00E655B8" w:rsidP="00E655B8">
      <w:pPr>
        <w:numPr>
          <w:ilvl w:val="0"/>
          <w:numId w:val="1"/>
        </w:numPr>
        <w:jc w:val="both"/>
      </w:pPr>
      <w:r w:rsidRPr="005952A7">
        <w:t>Kórházak</w:t>
      </w:r>
    </w:p>
    <w:p w14:paraId="2DB3D26E" w14:textId="77777777" w:rsidR="00E655B8" w:rsidRPr="005952A7" w:rsidRDefault="00E655B8" w:rsidP="00E655B8">
      <w:pPr>
        <w:numPr>
          <w:ilvl w:val="0"/>
          <w:numId w:val="1"/>
        </w:numPr>
        <w:jc w:val="both"/>
      </w:pPr>
      <w:r w:rsidRPr="005952A7">
        <w:t>Közfoglalkoztatottak</w:t>
      </w:r>
    </w:p>
    <w:p w14:paraId="669C8DD1" w14:textId="77777777" w:rsidR="00E655B8" w:rsidRPr="005952A7" w:rsidRDefault="00E655B8" w:rsidP="00E655B8">
      <w:pPr>
        <w:numPr>
          <w:ilvl w:val="0"/>
          <w:numId w:val="1"/>
        </w:numPr>
        <w:jc w:val="both"/>
      </w:pPr>
      <w:r w:rsidRPr="005952A7">
        <w:t>Légiközlekedés</w:t>
      </w:r>
    </w:p>
    <w:p w14:paraId="1EF96C2F" w14:textId="77777777" w:rsidR="00E655B8" w:rsidRPr="005952A7" w:rsidRDefault="00E655B8" w:rsidP="00E655B8">
      <w:pPr>
        <w:numPr>
          <w:ilvl w:val="0"/>
          <w:numId w:val="1"/>
        </w:numPr>
        <w:jc w:val="both"/>
      </w:pPr>
      <w:r w:rsidRPr="005952A7">
        <w:t>Magyar védelmi exportügynökség zrt.</w:t>
      </w:r>
    </w:p>
    <w:p w14:paraId="61B81812" w14:textId="77777777" w:rsidR="00E655B8" w:rsidRPr="005952A7" w:rsidRDefault="00E655B8" w:rsidP="00E655B8">
      <w:pPr>
        <w:numPr>
          <w:ilvl w:val="0"/>
          <w:numId w:val="1"/>
        </w:numPr>
        <w:jc w:val="both"/>
      </w:pPr>
      <w:r w:rsidRPr="005952A7">
        <w:t>Nemzetgazdasági szempontból kiemelt jelentőségű ügy</w:t>
      </w:r>
    </w:p>
    <w:p w14:paraId="6E8051F0" w14:textId="77777777" w:rsidR="00E655B8" w:rsidRPr="005952A7" w:rsidRDefault="00E655B8" w:rsidP="00E655B8">
      <w:pPr>
        <w:numPr>
          <w:ilvl w:val="0"/>
          <w:numId w:val="1"/>
        </w:numPr>
        <w:jc w:val="both"/>
      </w:pPr>
      <w:r w:rsidRPr="005952A7">
        <w:t>Nemzeti ellenálló képesség</w:t>
      </w:r>
    </w:p>
    <w:p w14:paraId="4BD45780" w14:textId="77777777" w:rsidR="00E655B8" w:rsidRPr="005952A7" w:rsidRDefault="00E655B8" w:rsidP="00E655B8">
      <w:pPr>
        <w:numPr>
          <w:ilvl w:val="0"/>
          <w:numId w:val="1"/>
        </w:numPr>
        <w:jc w:val="both"/>
      </w:pPr>
      <w:r w:rsidRPr="005952A7">
        <w:t>Pilóta nélküli állami légijárművek</w:t>
      </w:r>
    </w:p>
    <w:p w14:paraId="2C2DB852" w14:textId="77777777" w:rsidR="00E655B8" w:rsidRPr="005952A7" w:rsidRDefault="00E655B8" w:rsidP="00E655B8">
      <w:pPr>
        <w:numPr>
          <w:ilvl w:val="0"/>
          <w:numId w:val="1"/>
        </w:numPr>
        <w:jc w:val="both"/>
      </w:pPr>
      <w:r w:rsidRPr="005952A7">
        <w:t>Sportakadémiák</w:t>
      </w:r>
    </w:p>
    <w:p w14:paraId="7104EE10" w14:textId="77777777" w:rsidR="00E655B8" w:rsidRPr="005952A7" w:rsidRDefault="00E655B8" w:rsidP="00E655B8">
      <w:pPr>
        <w:numPr>
          <w:ilvl w:val="0"/>
          <w:numId w:val="1"/>
        </w:numPr>
        <w:jc w:val="both"/>
      </w:pPr>
      <w:r w:rsidRPr="005952A7">
        <w:t>Társadalombiztosítási nyugellátásról</w:t>
      </w:r>
    </w:p>
    <w:p w14:paraId="652DD891" w14:textId="77777777" w:rsidR="00E655B8" w:rsidRPr="005952A7" w:rsidRDefault="00E655B8" w:rsidP="00E655B8">
      <w:pPr>
        <w:numPr>
          <w:ilvl w:val="0"/>
          <w:numId w:val="1"/>
        </w:numPr>
        <w:jc w:val="both"/>
      </w:pPr>
      <w:r w:rsidRPr="005952A7">
        <w:t>Villamos energia, digitalizáció, kiberbiztonság</w:t>
      </w:r>
    </w:p>
    <w:p w14:paraId="2ADA1D27" w14:textId="77777777" w:rsidR="00E655B8" w:rsidRPr="005952A7" w:rsidRDefault="00E655B8" w:rsidP="00E655B8">
      <w:pPr>
        <w:jc w:val="both"/>
      </w:pPr>
      <w:r w:rsidRPr="005952A7">
        <w:rPr>
          <w:b/>
          <w:bCs/>
        </w:rPr>
        <w:t>Bővebben: njt.hu honlapon</w:t>
      </w:r>
    </w:p>
    <w:p w14:paraId="0C9D18EB" w14:textId="77777777" w:rsidR="00E655B8" w:rsidRPr="005952A7" w:rsidRDefault="00E655B8" w:rsidP="00E655B8">
      <w:pPr>
        <w:numPr>
          <w:ilvl w:val="0"/>
          <w:numId w:val="2"/>
        </w:numPr>
        <w:jc w:val="both"/>
      </w:pPr>
      <w:r w:rsidRPr="005952A7">
        <w:rPr>
          <w:b/>
          <w:bCs/>
        </w:rPr>
        <w:t>ATOMENERGIA</w:t>
      </w:r>
    </w:p>
    <w:p w14:paraId="01D1A83F" w14:textId="77777777" w:rsidR="00E655B8" w:rsidRPr="005952A7" w:rsidRDefault="00E655B8" w:rsidP="00E655B8">
      <w:pPr>
        <w:jc w:val="both"/>
      </w:pPr>
      <w:r w:rsidRPr="005952A7">
        <w:rPr>
          <w:b/>
          <w:bCs/>
        </w:rPr>
        <w:t>323/2025. (X. 20.) Korm. rendelet a Központi Nukleáris Pénzügyi Alapból az ellenőrzési és információs célú önkormányzati társulásoknak nyújtott támogatások szabályairól szóló </w:t>
      </w:r>
      <w:hyperlink r:id="rId5" w:tgtFrame="_blank" w:history="1">
        <w:r w:rsidRPr="005952A7">
          <w:rPr>
            <w:rStyle w:val="Hiperhivatkozs"/>
            <w:b/>
            <w:bCs/>
          </w:rPr>
          <w:t>214/2013. (VI. 21.) Korm. rendelet</w:t>
        </w:r>
      </w:hyperlink>
      <w:r w:rsidRPr="005952A7">
        <w:rPr>
          <w:b/>
          <w:bCs/>
        </w:rPr>
        <w:t> módosításáról</w:t>
      </w:r>
    </w:p>
    <w:p w14:paraId="63302731" w14:textId="77777777" w:rsidR="00E655B8" w:rsidRPr="005952A7" w:rsidRDefault="00E655B8" w:rsidP="00E655B8">
      <w:pPr>
        <w:jc w:val="both"/>
      </w:pPr>
      <w:r w:rsidRPr="005952A7">
        <w:lastRenderedPageBreak/>
        <w:t>[1] Az atomenergiáról szóló </w:t>
      </w:r>
      <w:hyperlink r:id="rId6" w:tgtFrame="_blank" w:history="1">
        <w:r w:rsidRPr="005952A7">
          <w:rPr>
            <w:rStyle w:val="Hiperhivatkozs"/>
            <w:b/>
            <w:bCs/>
          </w:rPr>
          <w:t>1996. évi CXVI. törvény 10/A. §</w:t>
        </w:r>
      </w:hyperlink>
      <w:r w:rsidRPr="005952A7">
        <w:t>-a alapján létrejött ellenőrzési és információs célú önkormányzati társulások részére a Központi Nukleáris Pénzügyi Alapból nyújtható költségvetési támogatás felosztásakor indokolt a lakosságszám figyelembevétele, amit céloz a módosítás.</w:t>
      </w:r>
    </w:p>
    <w:p w14:paraId="495C6662" w14:textId="77777777" w:rsidR="00E655B8" w:rsidRPr="005952A7" w:rsidRDefault="00E655B8" w:rsidP="00E655B8">
      <w:pPr>
        <w:numPr>
          <w:ilvl w:val="0"/>
          <w:numId w:val="3"/>
        </w:numPr>
        <w:jc w:val="both"/>
      </w:pPr>
      <w:r w:rsidRPr="005952A7">
        <w:rPr>
          <w:b/>
          <w:bCs/>
        </w:rPr>
        <w:t>BERUHÁZÁS</w:t>
      </w:r>
    </w:p>
    <w:p w14:paraId="78D09770" w14:textId="77777777" w:rsidR="00E655B8" w:rsidRPr="005952A7" w:rsidRDefault="00E655B8" w:rsidP="00E655B8">
      <w:pPr>
        <w:jc w:val="both"/>
      </w:pPr>
      <w:r w:rsidRPr="005952A7">
        <w:rPr>
          <w:b/>
          <w:bCs/>
        </w:rPr>
        <w:t>314/2025. (X. 17.) Korm. rendelet a beruházás ösztönzési célelőirányzat felhasználásáról szóló </w:t>
      </w:r>
      <w:hyperlink r:id="rId7" w:tgtFrame="_blank" w:history="1">
        <w:r w:rsidRPr="005952A7">
          <w:rPr>
            <w:rStyle w:val="Hiperhivatkozs"/>
            <w:b/>
            <w:bCs/>
          </w:rPr>
          <w:t>210/2014. (VIII. 27.) Korm. rendelet</w:t>
        </w:r>
      </w:hyperlink>
      <w:r w:rsidRPr="005952A7">
        <w:rPr>
          <w:b/>
          <w:bCs/>
        </w:rPr>
        <w:t> módosításáról</w:t>
      </w:r>
    </w:p>
    <w:p w14:paraId="754E9BB8" w14:textId="77777777" w:rsidR="00E655B8" w:rsidRPr="005952A7" w:rsidRDefault="00E655B8" w:rsidP="00E655B8">
      <w:pPr>
        <w:jc w:val="both"/>
      </w:pPr>
      <w:r w:rsidRPr="005952A7">
        <w:t>[1] A módosítások célja egyrészt annak elősegítése, hogy minél több klinikai kutatási projekt Magyarországon valósuljon meg, másrészt a módosítással az Európai Bizottságnak az „Állami támogatásokra vonatkozó keret a tisztaipar-megállapodás támogatása céljából” című, 2025. július 4-i, C/2025/3602. számú közleménye kerül implementálásra, amelyek révén Magyarország versenyképessége tovább növelhető.</w:t>
      </w:r>
    </w:p>
    <w:p w14:paraId="63B8E1BF" w14:textId="77777777" w:rsidR="00E655B8" w:rsidRPr="005952A7" w:rsidRDefault="00E655B8" w:rsidP="00E655B8">
      <w:pPr>
        <w:jc w:val="both"/>
      </w:pPr>
      <w:r w:rsidRPr="005952A7">
        <w:rPr>
          <w:b/>
          <w:bCs/>
        </w:rPr>
        <w:t> </w:t>
      </w:r>
    </w:p>
    <w:p w14:paraId="46B938A0" w14:textId="77777777" w:rsidR="00E655B8" w:rsidRPr="005952A7" w:rsidRDefault="00E655B8" w:rsidP="00E655B8">
      <w:pPr>
        <w:numPr>
          <w:ilvl w:val="0"/>
          <w:numId w:val="4"/>
        </w:numPr>
        <w:jc w:val="both"/>
      </w:pPr>
      <w:r w:rsidRPr="005952A7">
        <w:rPr>
          <w:b/>
          <w:bCs/>
        </w:rPr>
        <w:t>EGÉSZSÉGÜGY</w:t>
      </w:r>
    </w:p>
    <w:p w14:paraId="4ABE1C9A" w14:textId="77777777" w:rsidR="00E655B8" w:rsidRPr="005952A7" w:rsidRDefault="00E655B8" w:rsidP="00E655B8">
      <w:pPr>
        <w:jc w:val="both"/>
      </w:pPr>
      <w:r w:rsidRPr="005952A7">
        <w:rPr>
          <w:b/>
          <w:bCs/>
        </w:rPr>
        <w:t>311/2025. (X. 14.) Korm. rendelet az egészségügyi szolgáltatások Egészségbiztosítási Alapból történő finanszírozásának részletes szabályairól szóló </w:t>
      </w:r>
      <w:hyperlink r:id="rId8" w:tgtFrame="_blank" w:history="1">
        <w:r w:rsidRPr="005952A7">
          <w:rPr>
            <w:rStyle w:val="Hiperhivatkozs"/>
            <w:b/>
            <w:bCs/>
          </w:rPr>
          <w:t>43/1999. (III. 3.) Korm. rendelet</w:t>
        </w:r>
      </w:hyperlink>
      <w:r w:rsidRPr="005952A7">
        <w:rPr>
          <w:b/>
          <w:bCs/>
        </w:rPr>
        <w:t> módosításáról</w:t>
      </w:r>
    </w:p>
    <w:p w14:paraId="7A5C2EE9" w14:textId="77777777" w:rsidR="00E655B8" w:rsidRPr="005952A7" w:rsidRDefault="00E655B8" w:rsidP="00E655B8">
      <w:pPr>
        <w:jc w:val="both"/>
      </w:pPr>
      <w:r w:rsidRPr="005952A7">
        <w:t>[1] A módosítás célja az emelt biztonságú pszichiátriai osztály Pilot program zárását követően az ellátás rendszerszerű finanszírozásának megteremtése.</w:t>
      </w:r>
    </w:p>
    <w:p w14:paraId="3D80A139" w14:textId="77777777" w:rsidR="00E655B8" w:rsidRPr="005952A7" w:rsidRDefault="00E655B8" w:rsidP="00E655B8">
      <w:pPr>
        <w:jc w:val="both"/>
      </w:pPr>
      <w:r w:rsidRPr="005952A7">
        <w:rPr>
          <w:b/>
          <w:bCs/>
        </w:rPr>
        <w:t> </w:t>
      </w:r>
    </w:p>
    <w:p w14:paraId="0AB5D5DC" w14:textId="77777777" w:rsidR="00E655B8" w:rsidRPr="005952A7" w:rsidRDefault="00E655B8" w:rsidP="00E655B8">
      <w:pPr>
        <w:numPr>
          <w:ilvl w:val="0"/>
          <w:numId w:val="5"/>
        </w:numPr>
        <w:jc w:val="both"/>
      </w:pPr>
      <w:r w:rsidRPr="005952A7">
        <w:rPr>
          <w:b/>
          <w:bCs/>
        </w:rPr>
        <w:t>EGYES VÉDELMI IPARI TÁRSASÁGOK</w:t>
      </w:r>
    </w:p>
    <w:p w14:paraId="7CDA1DB4" w14:textId="77777777" w:rsidR="00E655B8" w:rsidRPr="005952A7" w:rsidRDefault="00E655B8" w:rsidP="00E655B8">
      <w:pPr>
        <w:jc w:val="both"/>
      </w:pPr>
      <w:r w:rsidRPr="005952A7">
        <w:rPr>
          <w:b/>
          <w:bCs/>
        </w:rPr>
        <w:t>303/2025. (X. 6.) Korm. rendelet egyes védelmi ipari társaságok feletti irányítás megszerzésével megvalósuló összefonódások nemzetstratégiai jelentőségűnek minősítéséről</w:t>
      </w:r>
    </w:p>
    <w:p w14:paraId="56B278DA" w14:textId="77777777" w:rsidR="00E655B8" w:rsidRPr="005952A7" w:rsidRDefault="00E655B8" w:rsidP="00E655B8">
      <w:pPr>
        <w:jc w:val="both"/>
      </w:pPr>
      <w:r w:rsidRPr="005952A7">
        <w:t>[1] A szabályozás célja egyes gazdasági társaságok feletti közvetlen egyedüli irányításszerzést – védelmi ipari ellátás-biztonsági szempontokra figyelemmel – nemzetstratégiai jelentőségű összefonódásnak minősítése.</w:t>
      </w:r>
    </w:p>
    <w:p w14:paraId="17D323C8" w14:textId="77777777" w:rsidR="00E655B8" w:rsidRPr="005952A7" w:rsidRDefault="00E655B8" w:rsidP="00E655B8">
      <w:pPr>
        <w:jc w:val="both"/>
      </w:pPr>
      <w:r w:rsidRPr="005952A7">
        <w:rPr>
          <w:b/>
          <w:bCs/>
        </w:rPr>
        <w:t> </w:t>
      </w:r>
    </w:p>
    <w:p w14:paraId="1A10684E" w14:textId="77777777" w:rsidR="00E655B8" w:rsidRPr="005952A7" w:rsidRDefault="00E655B8" w:rsidP="00E655B8">
      <w:pPr>
        <w:numPr>
          <w:ilvl w:val="0"/>
          <w:numId w:val="6"/>
        </w:numPr>
        <w:jc w:val="both"/>
      </w:pPr>
      <w:r w:rsidRPr="005952A7">
        <w:rPr>
          <w:b/>
          <w:bCs/>
        </w:rPr>
        <w:t>FELSZÁMOLÁSOK</w:t>
      </w:r>
    </w:p>
    <w:p w14:paraId="027E381B" w14:textId="77777777" w:rsidR="00E655B8" w:rsidRPr="005952A7" w:rsidRDefault="00E655B8" w:rsidP="00E655B8">
      <w:pPr>
        <w:jc w:val="both"/>
      </w:pPr>
      <w:r w:rsidRPr="005952A7">
        <w:rPr>
          <w:b/>
          <w:bCs/>
        </w:rPr>
        <w:t>326/2025. (X. 20.) Korm. rendelet az ISD DUNAFERR Dunai Vasmű Zártkörűen Működő Részvénytársaság „felszámolás alatt”, a Duna Furnace Dunai Vasmű Korlátolt Felelősségű Társaság „felszámolás alatt”, valamint a Dunarolling Dunai Vasmű Korlátolt Felelősségű Társaság „felszámolás alatt” felszámolási eljárásának stratégiailag kiemelt jelentőségű felszámolási eljárássá minősítéséről</w:t>
      </w:r>
    </w:p>
    <w:p w14:paraId="3F3B0706" w14:textId="77777777" w:rsidR="00E655B8" w:rsidRPr="005952A7" w:rsidRDefault="00E655B8" w:rsidP="00E655B8">
      <w:pPr>
        <w:jc w:val="both"/>
      </w:pPr>
      <w:r w:rsidRPr="005952A7">
        <w:lastRenderedPageBreak/>
        <w:t>[1] A Kormány iparpolitikai és gazdasági szempontokat mérlegelve megállapította, hogy meghatározott felszámolási eljárásokban a felszámolás alá vont gazdasági szereplők adósságai rendezéséhez és a hitelezőkkel való megegyezéséhez kiemelt gazdaságpolitikai érdek fűződik.</w:t>
      </w:r>
    </w:p>
    <w:p w14:paraId="56895942" w14:textId="77777777" w:rsidR="00E655B8" w:rsidRPr="005952A7" w:rsidRDefault="00E655B8" w:rsidP="00E655B8">
      <w:pPr>
        <w:numPr>
          <w:ilvl w:val="0"/>
          <w:numId w:val="7"/>
        </w:numPr>
        <w:jc w:val="both"/>
      </w:pPr>
      <w:r w:rsidRPr="005952A7">
        <w:rPr>
          <w:b/>
          <w:bCs/>
        </w:rPr>
        <w:t>GAZDASÁGFEJLESZTÉSI CÉLÚ ÉS MUNKAHELYTEREMTŐ BERUHÁZÁSOK</w:t>
      </w:r>
    </w:p>
    <w:p w14:paraId="6E320EEB" w14:textId="77777777" w:rsidR="00E655B8" w:rsidRPr="005952A7" w:rsidRDefault="00E655B8" w:rsidP="00E655B8">
      <w:pPr>
        <w:jc w:val="both"/>
      </w:pPr>
      <w:r w:rsidRPr="005952A7">
        <w:rPr>
          <w:b/>
          <w:bCs/>
        </w:rPr>
        <w:t>318/2025. (X. 17.) Korm. rendelet az egyes gazdaságfejlesztési célú és munkahelyteremtő beruházásokkal összefüggő közigazgatási hatósági ügyek nemzetgazdasági szempontból kiemelt jelentőségű üggyé nyilvánításáról, valamint egyes nemzetgazdasági szempontból kiemelt jelentőségű üggyé nyilvánításról szóló kormányrendeletek módosításáról szóló </w:t>
      </w:r>
      <w:hyperlink r:id="rId9" w:tgtFrame="_blank" w:history="1">
        <w:r w:rsidRPr="005952A7">
          <w:rPr>
            <w:rStyle w:val="Hiperhivatkozs"/>
            <w:b/>
            <w:bCs/>
          </w:rPr>
          <w:t>141/2018. (VII. 27.) Korm. rendelet</w:t>
        </w:r>
      </w:hyperlink>
      <w:r w:rsidRPr="005952A7">
        <w:rPr>
          <w:b/>
          <w:bCs/>
        </w:rPr>
        <w:t>, valamint a munkahelyteremtő beruházásokkal összefüggő közigazgatási hatósági ügyek nemzetgazdasági szempontból kiemelt jelentőségű üggyé nyilvánításáról szóló </w:t>
      </w:r>
      <w:hyperlink r:id="rId10" w:tgtFrame="_blank" w:history="1">
        <w:r w:rsidRPr="005952A7">
          <w:rPr>
            <w:rStyle w:val="Hiperhivatkozs"/>
            <w:b/>
            <w:bCs/>
          </w:rPr>
          <w:t>23/2018. (II. 20.) Korm. rendelet</w:t>
        </w:r>
      </w:hyperlink>
      <w:r w:rsidRPr="005952A7">
        <w:rPr>
          <w:b/>
          <w:bCs/>
        </w:rPr>
        <w:t> módosításáról</w:t>
      </w:r>
    </w:p>
    <w:p w14:paraId="11733453" w14:textId="77777777" w:rsidR="00E655B8" w:rsidRPr="005952A7" w:rsidRDefault="00E655B8" w:rsidP="00E655B8">
      <w:pPr>
        <w:jc w:val="both"/>
      </w:pPr>
      <w:r w:rsidRPr="005952A7">
        <w:t>[1] A Kormány célja a Budapest IV. kerületében sport- és kulturális célból megvalósuló labdarúgó stadion fejlesztése, valamint nem állami beruházás keretében megvalósuló vegyes célú ingatlanfejlesztésének elősegítése, így indokolt a fejlesztés kiemelt beruházássá nyilvánítása, valamint az építési beruházással érintett ingatlannal összefüggésben sajátos településrendezési és építési követelmények meghatározása.</w:t>
      </w:r>
    </w:p>
    <w:p w14:paraId="0BAB1DCF" w14:textId="77777777" w:rsidR="00E655B8" w:rsidRPr="005952A7" w:rsidRDefault="00E655B8" w:rsidP="00E655B8">
      <w:pPr>
        <w:jc w:val="both"/>
      </w:pPr>
      <w:r w:rsidRPr="005952A7">
        <w:rPr>
          <w:b/>
          <w:bCs/>
        </w:rPr>
        <w:t>317/2025. (X. 17.) Korm. rendelet a Ganz-MaVag International Korlátolt Felelősségű Társaság, valamint a Magyar Vagon Dunakeszi Járműgyártó, Javító és Karbantartó Korlátolt Felelősségű Társaság felszámolási eljárásának stratégiailag kiemelt jelentőségű felszámolási eljárássá minősítéséről</w:t>
      </w:r>
    </w:p>
    <w:p w14:paraId="3EA356E1" w14:textId="77777777" w:rsidR="00E655B8" w:rsidRPr="005952A7" w:rsidRDefault="00E655B8" w:rsidP="00E655B8">
      <w:pPr>
        <w:jc w:val="both"/>
      </w:pPr>
      <w:r w:rsidRPr="005952A7">
        <w:t>[1] A Kormány iparpolitikai és gazdasági szempontokat mérlegelve megállapította, hogy a Ganz-MaVag International Korlátolt Felelősségű Társaság és a Magyar Vagon Dunakeszi Járműgyártó, Javító és Karbantartó Korlátolt Felelősségű Társaság adósságainak rendezéséhez és hitelezőkkel való megegyezéséhez kiemelt gazdaságpolitikai érdek fűződik.</w:t>
      </w:r>
    </w:p>
    <w:p w14:paraId="1B48D6EC" w14:textId="77777777" w:rsidR="00E655B8" w:rsidRPr="005952A7" w:rsidRDefault="00E655B8" w:rsidP="00E655B8">
      <w:pPr>
        <w:jc w:val="both"/>
      </w:pPr>
      <w:r w:rsidRPr="005952A7">
        <w:rPr>
          <w:b/>
          <w:bCs/>
        </w:rPr>
        <w:t> </w:t>
      </w:r>
    </w:p>
    <w:p w14:paraId="5469E5C3" w14:textId="77777777" w:rsidR="00E655B8" w:rsidRPr="005952A7" w:rsidRDefault="00E655B8" w:rsidP="00E655B8">
      <w:pPr>
        <w:numPr>
          <w:ilvl w:val="0"/>
          <w:numId w:val="8"/>
        </w:numPr>
        <w:jc w:val="both"/>
      </w:pPr>
      <w:r w:rsidRPr="005952A7">
        <w:rPr>
          <w:b/>
          <w:bCs/>
        </w:rPr>
        <w:t>HÁTRÁNYOS HELYZETŰ TELEPÜLÉSEK</w:t>
      </w:r>
    </w:p>
    <w:p w14:paraId="7DA0555C" w14:textId="77777777" w:rsidR="00E655B8" w:rsidRPr="005952A7" w:rsidRDefault="00E655B8" w:rsidP="00E655B8">
      <w:pPr>
        <w:jc w:val="both"/>
      </w:pPr>
      <w:r w:rsidRPr="005952A7">
        <w:rPr>
          <w:b/>
          <w:bCs/>
        </w:rPr>
        <w:t>319/2025. (X. 20.) Korm. rendelet a hátrányos helyzetű településeken élők integrációt és társadalmi mobilitást segítő lakhatásáról</w:t>
      </w:r>
    </w:p>
    <w:p w14:paraId="0AF79D5E" w14:textId="77777777" w:rsidR="00E655B8" w:rsidRPr="005952A7" w:rsidRDefault="00E655B8" w:rsidP="00E655B8">
      <w:pPr>
        <w:jc w:val="both"/>
      </w:pPr>
      <w:r w:rsidRPr="005952A7">
        <w:t>[1] A Kormány elkötelezett a társadalmi felzárkózás ügye iránt, aktívan támogatja a nehéz helyzetben lévő családok életkörülményeinek javítására irányuló törekvéseket.</w:t>
      </w:r>
    </w:p>
    <w:p w14:paraId="585CC4D6" w14:textId="77777777" w:rsidR="00E655B8" w:rsidRPr="005952A7" w:rsidRDefault="00E655B8" w:rsidP="00E655B8">
      <w:pPr>
        <w:jc w:val="both"/>
      </w:pPr>
      <w:r w:rsidRPr="005952A7">
        <w:t>[2] A Kormány a leghátrányosabb helyzetű településeken együttműködik a helyben jelen lévő civil szervezetekkel az ott élők életminőségének javítása érdekében.</w:t>
      </w:r>
    </w:p>
    <w:p w14:paraId="79F82D97" w14:textId="77777777" w:rsidR="00E655B8" w:rsidRPr="005952A7" w:rsidRDefault="00E655B8" w:rsidP="00E655B8">
      <w:pPr>
        <w:jc w:val="both"/>
      </w:pPr>
      <w:r w:rsidRPr="005952A7">
        <w:lastRenderedPageBreak/>
        <w:t>[3] A Kormány kiemelt prioritásnak tekinti a leghátrányosabb helyzetű településeken élők integrációt és társadalmi mobilitást segítő lakhatásának támogatását.</w:t>
      </w:r>
    </w:p>
    <w:p w14:paraId="40F9F09E" w14:textId="77777777" w:rsidR="00E655B8" w:rsidRPr="005952A7" w:rsidRDefault="00E655B8" w:rsidP="00E655B8">
      <w:pPr>
        <w:jc w:val="both"/>
      </w:pPr>
      <w:r w:rsidRPr="005952A7">
        <w:rPr>
          <w:b/>
          <w:bCs/>
        </w:rPr>
        <w:t> </w:t>
      </w:r>
    </w:p>
    <w:p w14:paraId="4F90B37E" w14:textId="77777777" w:rsidR="00E655B8" w:rsidRPr="005952A7" w:rsidRDefault="00E655B8" w:rsidP="00E655B8">
      <w:pPr>
        <w:numPr>
          <w:ilvl w:val="0"/>
          <w:numId w:val="9"/>
        </w:numPr>
        <w:jc w:val="both"/>
      </w:pPr>
      <w:r w:rsidRPr="005952A7">
        <w:rPr>
          <w:b/>
          <w:bCs/>
        </w:rPr>
        <w:t>HULLADÉKGAZDÁLKODÁS</w:t>
      </w:r>
    </w:p>
    <w:p w14:paraId="7D42B74B" w14:textId="77777777" w:rsidR="00E655B8" w:rsidRPr="005952A7" w:rsidRDefault="00E655B8" w:rsidP="00E655B8">
      <w:pPr>
        <w:jc w:val="both"/>
      </w:pPr>
      <w:r w:rsidRPr="005952A7">
        <w:rPr>
          <w:b/>
          <w:bCs/>
        </w:rPr>
        <w:t>16/2025. (X. 2.) MEKH rendelet a B3 alkategóriájú hulladéklerakóban és a hulladékégető műben alkalmazható egyes átvételi díjakról szóló </w:t>
      </w:r>
      <w:hyperlink r:id="rId11" w:tgtFrame="_blank" w:history="1">
        <w:r w:rsidRPr="005952A7">
          <w:rPr>
            <w:rStyle w:val="Hiperhivatkozs"/>
            <w:b/>
            <w:bCs/>
          </w:rPr>
          <w:t>2/2023. (IV. 6.) MEKH rendelet</w:t>
        </w:r>
      </w:hyperlink>
      <w:r w:rsidRPr="005952A7">
        <w:rPr>
          <w:b/>
          <w:bCs/>
        </w:rPr>
        <w:t> módosításáról</w:t>
      </w:r>
    </w:p>
    <w:p w14:paraId="037EC63D" w14:textId="77777777" w:rsidR="00E655B8" w:rsidRPr="005952A7" w:rsidRDefault="00E655B8" w:rsidP="00E655B8">
      <w:pPr>
        <w:jc w:val="both"/>
      </w:pPr>
      <w:r w:rsidRPr="005952A7">
        <w:t>[1] A rendelet módosításának célja a koncesszor, a koncessziós társaság vagy a koncesszori alvállalkozó által átadott, az állami hulladékgazdálkodási közfeladat ellátásával összefüggésben keletkezett – és a B3 alkategóriájú hulladéklerakóban lerakható vagy a hulladékról szóló </w:t>
      </w:r>
      <w:hyperlink r:id="rId12" w:tgtFrame="_blank" w:history="1">
        <w:r w:rsidRPr="005952A7">
          <w:rPr>
            <w:rStyle w:val="Hiperhivatkozs"/>
            <w:b/>
            <w:bCs/>
          </w:rPr>
          <w:t>2012. évi CLXXXV. törvény 18/A. § (1) bekezdés</w:t>
        </w:r>
      </w:hyperlink>
      <w:r w:rsidRPr="005952A7">
        <w:t>e szerinti hulladékégető műben kezelhető – hulladék átvételéért fizetendő átvételi díjak 2026. évre vonatkozó mértékének meghatározása.</w:t>
      </w:r>
    </w:p>
    <w:p w14:paraId="3187CDBB" w14:textId="77777777" w:rsidR="00E655B8" w:rsidRPr="005952A7" w:rsidRDefault="00E655B8" w:rsidP="00E655B8">
      <w:pPr>
        <w:jc w:val="both"/>
      </w:pPr>
      <w:r w:rsidRPr="005952A7">
        <w:rPr>
          <w:b/>
          <w:bCs/>
        </w:rPr>
        <w:t> </w:t>
      </w:r>
    </w:p>
    <w:p w14:paraId="41EC41EB" w14:textId="77777777" w:rsidR="00E655B8" w:rsidRPr="005952A7" w:rsidRDefault="00E655B8" w:rsidP="00E655B8">
      <w:pPr>
        <w:numPr>
          <w:ilvl w:val="0"/>
          <w:numId w:val="10"/>
        </w:numPr>
        <w:jc w:val="both"/>
      </w:pPr>
      <w:r w:rsidRPr="005952A7">
        <w:rPr>
          <w:b/>
          <w:bCs/>
        </w:rPr>
        <w:t>INTERREG PROGRAMOK</w:t>
      </w:r>
    </w:p>
    <w:p w14:paraId="1FA9BD0C" w14:textId="77777777" w:rsidR="00E655B8" w:rsidRPr="005952A7" w:rsidRDefault="00E655B8" w:rsidP="00E655B8">
      <w:pPr>
        <w:jc w:val="both"/>
      </w:pPr>
      <w:r w:rsidRPr="005952A7">
        <w:rPr>
          <w:b/>
          <w:bCs/>
        </w:rPr>
        <w:t>312/2025. (X. 14.) Korm. rendelet a 2021–2027 programozási időszakban megvalósuló határon átnyúló Interreg programok végrehajtásáról szóló </w:t>
      </w:r>
      <w:hyperlink r:id="rId13" w:tgtFrame="_blank" w:history="1">
        <w:r w:rsidRPr="005952A7">
          <w:rPr>
            <w:rStyle w:val="Hiperhivatkozs"/>
            <w:b/>
            <w:bCs/>
          </w:rPr>
          <w:t>241/2023. (VI. 20.) Korm. rendelet</w:t>
        </w:r>
      </w:hyperlink>
      <w:r w:rsidRPr="005952A7">
        <w:rPr>
          <w:b/>
          <w:bCs/>
        </w:rPr>
        <w:t> módosításáról</w:t>
      </w:r>
    </w:p>
    <w:p w14:paraId="4DC645AF" w14:textId="77777777" w:rsidR="00E655B8" w:rsidRPr="005952A7" w:rsidRDefault="00E655B8" w:rsidP="00E655B8">
      <w:pPr>
        <w:jc w:val="both"/>
      </w:pPr>
      <w:r w:rsidRPr="005952A7">
        <w:t>[1] Magyarország Kormánya és a határon átnyúló Interreg programok végrehajtásában részt vevő hazai szervezetek számára kiemelt cél az európai uniós források hatékony és eredményes felhasználása, amely – többek között – a rendelkezésre álló szakmai tapasztalatoknak a releváns jogszabályokban történő leképezésével érhető el.</w:t>
      </w:r>
    </w:p>
    <w:p w14:paraId="4A6C19A0" w14:textId="77777777" w:rsidR="00E655B8" w:rsidRPr="005952A7" w:rsidRDefault="00E655B8" w:rsidP="00E655B8">
      <w:pPr>
        <w:jc w:val="both"/>
      </w:pPr>
      <w:r w:rsidRPr="005952A7">
        <w:t>[2] További cél, hogy Magyarországnak az Európai Unió tagállamaival közös határrégióiban a határon átnyúló jogi és adminisztratív akadályok száma csökkenjen, ezzel is elősegítve a gazdasági, társadalmi és területi kohéziót e régiókban, és ennek érdekében kijelölje az Európai Parlament és a Tanács (EU) 2025/925 rendelete szerinti határokon átnyúló koordinációs pont feladatainak ellátásáért felelős szervet.</w:t>
      </w:r>
    </w:p>
    <w:p w14:paraId="301FDACE" w14:textId="77777777" w:rsidR="00E655B8" w:rsidRPr="005952A7" w:rsidRDefault="00E655B8" w:rsidP="00E655B8">
      <w:pPr>
        <w:numPr>
          <w:ilvl w:val="0"/>
          <w:numId w:val="11"/>
        </w:numPr>
        <w:jc w:val="both"/>
      </w:pPr>
      <w:r w:rsidRPr="005952A7">
        <w:rPr>
          <w:b/>
          <w:bCs/>
        </w:rPr>
        <w:t>IPARBIZTONSÁG</w:t>
      </w:r>
    </w:p>
    <w:p w14:paraId="5119D5D8" w14:textId="77777777" w:rsidR="00E655B8" w:rsidRPr="005952A7" w:rsidRDefault="00E655B8" w:rsidP="00E655B8">
      <w:pPr>
        <w:jc w:val="both"/>
      </w:pPr>
      <w:r w:rsidRPr="005952A7">
        <w:rPr>
          <w:b/>
          <w:bCs/>
        </w:rPr>
        <w:t>325/2025. (X. 20.) Korm. rendelet az iparbiztonsági veszélyt, valamint a fenyegető környezetkárosodást megelőző intézkedések veszélyhelyzeti szabályairól</w:t>
      </w:r>
    </w:p>
    <w:p w14:paraId="672DA478" w14:textId="77777777" w:rsidR="00E655B8" w:rsidRPr="005952A7" w:rsidRDefault="00E655B8" w:rsidP="00E655B8">
      <w:pPr>
        <w:jc w:val="both"/>
      </w:pPr>
      <w:r w:rsidRPr="005952A7">
        <w:t xml:space="preserve">[1] A veszélyhelyzeti rendelet célja a magyarországi iparbiztonsággal összefüggésben a felszámolás alatt álló gazdálkodó szervezet tulajdonában álló termelőüzemek biztonságos működéséhez és az iparbiztonsági veszély, valamint a fenyegető környezetkárosodás megelőzéséhez fűződő közérdek alapján a biztonságos működés fenntartásához szükséges intézkedések költségvetési forrásból történő finanszírozása, ha </w:t>
      </w:r>
      <w:r w:rsidRPr="005952A7">
        <w:lastRenderedPageBreak/>
        <w:t>az másra át nem hárítható, és ezzel az iparbiztonsági veszély vagy a fenyegető környezetkárosodás megelőzhető.</w:t>
      </w:r>
    </w:p>
    <w:p w14:paraId="5D0B8A1A" w14:textId="77777777" w:rsidR="00E655B8" w:rsidRPr="005952A7" w:rsidRDefault="00E655B8" w:rsidP="00E655B8">
      <w:pPr>
        <w:jc w:val="both"/>
      </w:pPr>
      <w:r w:rsidRPr="005952A7">
        <w:t>[2] A rendelet célja továbbá az iparbiztonsági veszély elhárításán, valamint a fenyegető környezetkárosodás megelőzésén keresztül az emberi egészség, a környezet, az élet- és vagyonbiztonság védelme.</w:t>
      </w:r>
    </w:p>
    <w:p w14:paraId="1EBDE09D" w14:textId="77777777" w:rsidR="00E655B8" w:rsidRPr="005952A7" w:rsidRDefault="00E655B8" w:rsidP="00E655B8">
      <w:pPr>
        <w:jc w:val="both"/>
      </w:pPr>
      <w:r w:rsidRPr="005952A7">
        <w:t>[3] A rendelet rögzíti, hogy az állam feladata az iparbiztonsági veszély, valamint a fenyegető környezetkárosodás megelőzése érdekében végzett tevékenységek – ideértve a termelőüzem biztonságos működéséhez, az üzemi infrastruktúra állagmegóvásához és karbantartásához vagy e tevékenységek biztonságos megszüntetéséhez szükséges feladatokat is – ellátása, ha a kötelezettség másra nem hárítható. Az állam e feladatokat az iparbiztonsági veszéllyel közvetlenül érintett gazdálkodó szervezetek, valamint e gazdálkodó szervezetek részére az iparbiztonsági veszély, valamint a fenyegető környezetkárosodás megelőzése érdekében szolgáltatást nyújtó gazdálkodó szervezetek közreműködésével látja el.</w:t>
      </w:r>
    </w:p>
    <w:p w14:paraId="755EA05A" w14:textId="77777777" w:rsidR="00E655B8" w:rsidRPr="005952A7" w:rsidRDefault="00E655B8" w:rsidP="00E655B8">
      <w:pPr>
        <w:jc w:val="both"/>
      </w:pPr>
      <w:r w:rsidRPr="005952A7">
        <w:t>[4] A rendelet az iparbiztonsági veszélyt és a fenyegető környezetkárosodást megelőző intézkedések meghatározásához szükséges vizsgálatok lefolytatására gyorsított eljárási szabályokat határoz meg, azzal, hogy amennyiben az eljáró hatóság megállapítja, hogy az intézkedések elmaradása esetén az iparbiztonságot veszélyeztető vagy környezetkárosító helyzet állhat elő, akkor az állam az intézkedések elvégzéséhez szükséges forrást a központi költségvetés terhére biztosítja.</w:t>
      </w:r>
    </w:p>
    <w:p w14:paraId="4A3A9B2D" w14:textId="77777777" w:rsidR="00E655B8" w:rsidRPr="005952A7" w:rsidRDefault="00E655B8" w:rsidP="00E655B8">
      <w:pPr>
        <w:jc w:val="both"/>
      </w:pPr>
      <w:r w:rsidRPr="005952A7">
        <w:rPr>
          <w:b/>
          <w:bCs/>
        </w:rPr>
        <w:t> </w:t>
      </w:r>
    </w:p>
    <w:p w14:paraId="455FD833" w14:textId="77777777" w:rsidR="00E655B8" w:rsidRPr="005952A7" w:rsidRDefault="00E655B8" w:rsidP="00E655B8">
      <w:pPr>
        <w:numPr>
          <w:ilvl w:val="0"/>
          <w:numId w:val="12"/>
        </w:numPr>
        <w:jc w:val="both"/>
      </w:pPr>
      <w:r w:rsidRPr="005952A7">
        <w:rPr>
          <w:b/>
          <w:bCs/>
        </w:rPr>
        <w:t>KÓRHÁZAK</w:t>
      </w:r>
    </w:p>
    <w:p w14:paraId="08F607FA" w14:textId="77777777" w:rsidR="00E655B8" w:rsidRPr="005952A7" w:rsidRDefault="00E655B8" w:rsidP="00E655B8">
      <w:pPr>
        <w:jc w:val="both"/>
      </w:pPr>
      <w:r w:rsidRPr="005952A7">
        <w:rPr>
          <w:b/>
          <w:bCs/>
        </w:rPr>
        <w:t>315/2025. (X. 17.) Korm. rendelet a Közbeszerzési és Ellátási Főigazgatóságról szóló </w:t>
      </w:r>
      <w:hyperlink r:id="rId14" w:tgtFrame="_blank" w:history="1">
        <w:r w:rsidRPr="005952A7">
          <w:rPr>
            <w:rStyle w:val="Hiperhivatkozs"/>
            <w:b/>
            <w:bCs/>
          </w:rPr>
          <w:t>250/2014. (X. 2.) Korm. rendelet</w:t>
        </w:r>
      </w:hyperlink>
      <w:r w:rsidRPr="005952A7">
        <w:rPr>
          <w:b/>
          <w:bCs/>
        </w:rPr>
        <w:t> módosításáról</w:t>
      </w:r>
    </w:p>
    <w:p w14:paraId="619CC76D" w14:textId="77777777" w:rsidR="00E655B8" w:rsidRPr="005952A7" w:rsidRDefault="00E655B8" w:rsidP="00E655B8">
      <w:pPr>
        <w:jc w:val="both"/>
      </w:pPr>
      <w:r w:rsidRPr="005952A7">
        <w:t>[1] A Kormány elkötelezett a megfelelő kórházi higiénia biztosítása mellett, ennek érdekében szükségesnek tartja a kórházakban használt alapvető higiénés termékek központi beszerzését és annak 2026. január 1-től való biztosítását az állami fenntartású fekvőbeteg ellátást végző egészségügyi intézményekben.</w:t>
      </w:r>
    </w:p>
    <w:p w14:paraId="569B96FC" w14:textId="77777777" w:rsidR="00E655B8" w:rsidRPr="005952A7" w:rsidRDefault="00E655B8" w:rsidP="00E655B8">
      <w:pPr>
        <w:numPr>
          <w:ilvl w:val="0"/>
          <w:numId w:val="13"/>
        </w:numPr>
        <w:jc w:val="both"/>
      </w:pPr>
      <w:r w:rsidRPr="005952A7">
        <w:rPr>
          <w:b/>
          <w:bCs/>
        </w:rPr>
        <w:t>KÖZFOGLALKOZTATOTTAK</w:t>
      </w:r>
    </w:p>
    <w:p w14:paraId="29FC1B16" w14:textId="77777777" w:rsidR="00E655B8" w:rsidRPr="005952A7" w:rsidRDefault="00E655B8" w:rsidP="00E655B8">
      <w:pPr>
        <w:jc w:val="both"/>
      </w:pPr>
      <w:r w:rsidRPr="005952A7">
        <w:rPr>
          <w:b/>
          <w:bCs/>
        </w:rPr>
        <w:t>320/2025. (X. 20.) Korm. rendelet a közfoglalkoztatási jogviszony maximális időtartamának meghatározásáról</w:t>
      </w:r>
    </w:p>
    <w:p w14:paraId="47A7F727" w14:textId="77777777" w:rsidR="00E655B8" w:rsidRPr="005952A7" w:rsidRDefault="00E655B8" w:rsidP="00E655B8">
      <w:pPr>
        <w:jc w:val="both"/>
      </w:pPr>
      <w:r w:rsidRPr="005952A7">
        <w:t>[1] A Kormány kiemelt célja a közfoglalkoztatottak jogviszonyának fenntartása és foglalkoztatásának elősegítése a nyílt munkaerőpiacon történő elhelyezkedésüket megelőzően.</w:t>
      </w:r>
    </w:p>
    <w:p w14:paraId="11C17D0B" w14:textId="77777777" w:rsidR="00E655B8" w:rsidRPr="005952A7" w:rsidRDefault="00E655B8" w:rsidP="00E655B8">
      <w:pPr>
        <w:numPr>
          <w:ilvl w:val="0"/>
          <w:numId w:val="14"/>
        </w:numPr>
        <w:jc w:val="both"/>
      </w:pPr>
      <w:r w:rsidRPr="005952A7">
        <w:rPr>
          <w:b/>
          <w:bCs/>
        </w:rPr>
        <w:t>LÉGIKÖZLEKEDÉS</w:t>
      </w:r>
    </w:p>
    <w:p w14:paraId="46E6DBB9" w14:textId="77777777" w:rsidR="00E655B8" w:rsidRPr="005952A7" w:rsidRDefault="00E655B8" w:rsidP="00E655B8">
      <w:pPr>
        <w:jc w:val="both"/>
      </w:pPr>
      <w:r w:rsidRPr="005952A7">
        <w:rPr>
          <w:b/>
          <w:bCs/>
        </w:rPr>
        <w:lastRenderedPageBreak/>
        <w:t>310/2025. (X. 9.) Korm. rendelet légiközlekedési tárgyú kormányrendeletek jogharmonizációs célú módosításáról</w:t>
      </w:r>
    </w:p>
    <w:p w14:paraId="2188220C" w14:textId="77777777" w:rsidR="00E655B8" w:rsidRPr="005952A7" w:rsidRDefault="00E655B8" w:rsidP="00E655B8">
      <w:pPr>
        <w:jc w:val="both"/>
      </w:pPr>
      <w:r w:rsidRPr="005952A7">
        <w:t>[1] Az egységes európai égboltról szóló első jogszabálycsomag részét képező, az egységes európai égbolt létrehozására vonatkozó keret megállapításáról szóló, 2004. március 10-i 549/2004/EK európai parlamenti és tanácsi rendelet, a léginavigációs szolgálatoknak az egységes európai égbolt keretében történő ellátásáról szóló, 2004. március 10-i 550/2004/EK európai parlamenti és tanácsi rendelet, valamint a légtérnek az egységes európai égbolt keretében történő szervezéséről és használatáról szóló, 2004. március 10-i 551/2004/EK európai parlamenti és tanácsi rendelet átdolgozásra került. Az Európai Parlament és a Tanács elfogadta az első jogszabálycsomag részét képező rendeletek szabályozását egységes szerkezetbe foglaló, módosításokat is tartalmazó (EU) 2024/2803 európai parlamenti és tanácsi rendeletet, amely jogharmonizációs kötelezettséget keletkeztetett. A módosítások célja ezen kötelezettség teljesítése.</w:t>
      </w:r>
    </w:p>
    <w:p w14:paraId="7E8EF807" w14:textId="77777777" w:rsidR="00E655B8" w:rsidRPr="005952A7" w:rsidRDefault="00E655B8" w:rsidP="00E655B8">
      <w:pPr>
        <w:jc w:val="both"/>
      </w:pPr>
      <w:r w:rsidRPr="005952A7">
        <w:t>Módosul:</w:t>
      </w:r>
    </w:p>
    <w:p w14:paraId="4DCE244C" w14:textId="77777777" w:rsidR="00E655B8" w:rsidRPr="005952A7" w:rsidRDefault="00E655B8" w:rsidP="00E655B8">
      <w:pPr>
        <w:numPr>
          <w:ilvl w:val="0"/>
          <w:numId w:val="15"/>
        </w:numPr>
        <w:jc w:val="both"/>
      </w:pPr>
      <w:r w:rsidRPr="005952A7">
        <w:rPr>
          <w:b/>
          <w:bCs/>
        </w:rPr>
        <w:t>A magyar légtér igénybevételéről szóló </w:t>
      </w:r>
      <w:hyperlink r:id="rId15" w:tgtFrame="_blank" w:history="1">
        <w:r w:rsidRPr="005952A7">
          <w:rPr>
            <w:rStyle w:val="Hiperhivatkozs"/>
            <w:b/>
            <w:bCs/>
          </w:rPr>
          <w:t>4/1998. (I. 16.) Korm. rendelet</w:t>
        </w:r>
      </w:hyperlink>
    </w:p>
    <w:p w14:paraId="785345E8" w14:textId="77777777" w:rsidR="00E655B8" w:rsidRPr="005952A7" w:rsidRDefault="00E655B8" w:rsidP="00E655B8">
      <w:pPr>
        <w:numPr>
          <w:ilvl w:val="0"/>
          <w:numId w:val="15"/>
        </w:numPr>
        <w:jc w:val="both"/>
      </w:pPr>
      <w:r w:rsidRPr="005952A7">
        <w:rPr>
          <w:b/>
          <w:bCs/>
        </w:rPr>
        <w:t>A közlekedési igazgatási feladatokkal összefüggő hatósági feladatokat ellátó szervek kijelöléséről szóló </w:t>
      </w:r>
      <w:hyperlink r:id="rId16" w:tgtFrame="_blank" w:history="1">
        <w:r w:rsidRPr="005952A7">
          <w:rPr>
            <w:rStyle w:val="Hiperhivatkozs"/>
            <w:b/>
            <w:bCs/>
          </w:rPr>
          <w:t>382/2016. (XII. 2.) Korm. rendelet</w:t>
        </w:r>
      </w:hyperlink>
    </w:p>
    <w:p w14:paraId="2DADCE5E" w14:textId="77777777" w:rsidR="00E655B8" w:rsidRPr="005952A7" w:rsidRDefault="00E655B8" w:rsidP="00E655B8">
      <w:pPr>
        <w:numPr>
          <w:ilvl w:val="0"/>
          <w:numId w:val="15"/>
        </w:numPr>
        <w:jc w:val="both"/>
      </w:pPr>
      <w:r w:rsidRPr="005952A7">
        <w:rPr>
          <w:b/>
          <w:bCs/>
        </w:rPr>
        <w:t>A légiközlekedési hatóság kiegészítő eljárásjogi szabályairól szóló </w:t>
      </w:r>
      <w:hyperlink r:id="rId17" w:tgtFrame="_blank" w:history="1">
        <w:r w:rsidRPr="005952A7">
          <w:rPr>
            <w:rStyle w:val="Hiperhivatkozs"/>
            <w:b/>
            <w:bCs/>
          </w:rPr>
          <w:t>532/2017. (XII. 29.) Korm. rendelet</w:t>
        </w:r>
      </w:hyperlink>
    </w:p>
    <w:p w14:paraId="7FD2B400" w14:textId="77777777" w:rsidR="00E655B8" w:rsidRPr="005952A7" w:rsidRDefault="00E655B8" w:rsidP="00E655B8">
      <w:pPr>
        <w:numPr>
          <w:ilvl w:val="0"/>
          <w:numId w:val="15"/>
        </w:numPr>
        <w:jc w:val="both"/>
      </w:pPr>
      <w:r w:rsidRPr="005952A7">
        <w:rPr>
          <w:b/>
          <w:bCs/>
        </w:rPr>
        <w:t>A Magyarország nemzeti meteorológiai szolgáltatójáról és a meteorológiai tevékenységről szóló </w:t>
      </w:r>
      <w:hyperlink r:id="rId18" w:tgtFrame="_blank" w:history="1">
        <w:r w:rsidRPr="005952A7">
          <w:rPr>
            <w:rStyle w:val="Hiperhivatkozs"/>
            <w:b/>
            <w:bCs/>
          </w:rPr>
          <w:t>547/2023. (XII. 12.) Korm. rendelet</w:t>
        </w:r>
      </w:hyperlink>
    </w:p>
    <w:p w14:paraId="51506B9F" w14:textId="77777777" w:rsidR="00E655B8" w:rsidRPr="005952A7" w:rsidRDefault="00E655B8" w:rsidP="00E655B8">
      <w:pPr>
        <w:jc w:val="both"/>
      </w:pPr>
      <w:r w:rsidRPr="005952A7">
        <w:rPr>
          <w:b/>
          <w:bCs/>
        </w:rPr>
        <w:t> </w:t>
      </w:r>
    </w:p>
    <w:p w14:paraId="153D83E9" w14:textId="77777777" w:rsidR="00E655B8" w:rsidRPr="005952A7" w:rsidRDefault="00E655B8" w:rsidP="00E655B8">
      <w:pPr>
        <w:numPr>
          <w:ilvl w:val="0"/>
          <w:numId w:val="16"/>
        </w:numPr>
        <w:jc w:val="both"/>
      </w:pPr>
      <w:r w:rsidRPr="005952A7">
        <w:rPr>
          <w:b/>
          <w:bCs/>
        </w:rPr>
        <w:t>MAGYAR VÉDELMI EXPORTÜGYNÖKSÉG ZRT.</w:t>
      </w:r>
    </w:p>
    <w:p w14:paraId="73FA509E" w14:textId="77777777" w:rsidR="00E655B8" w:rsidRPr="005952A7" w:rsidRDefault="00E655B8" w:rsidP="00E655B8">
      <w:pPr>
        <w:jc w:val="both"/>
      </w:pPr>
      <w:r w:rsidRPr="005952A7">
        <w:rPr>
          <w:b/>
          <w:bCs/>
        </w:rPr>
        <w:t>300/2025. (X. 6.) Korm. rendelet a Magyar Védelmi Exportügynökség Zártkörűen Működő Részvénytársaság feladatairól</w:t>
      </w:r>
    </w:p>
    <w:p w14:paraId="64F3A878" w14:textId="77777777" w:rsidR="00E655B8" w:rsidRPr="005952A7" w:rsidRDefault="00E655B8" w:rsidP="00E655B8">
      <w:pPr>
        <w:jc w:val="both"/>
      </w:pPr>
      <w:r w:rsidRPr="005952A7">
        <w:t>[1] Az elmúlt években Magyarország stratégiai, biztonsági környezete jelentősen megváltozott. A nemzetközi helyzet markáns változásai – különösen a háborús konfliktusok és azok gazdasági, társadalmi következményei – szükségessé teszik az űr- és védelmi ipar fenntartható fejlesztését. A szövetségi kötelezettségek teljesítése érdekében szükséges, hogy az űr- és védelmi ipari termékek, technológiák és szolgáltatások külpiaci értékesítése, a vállalatok külpiaci tevékenységének támogatása rendezett, átlátható és a nemzetközi normáknak megfelelő keretek között történjen. E célból elengedhetetlen, hogy a Magyar Védelmi Exportügynökség mint a kormányzat szakmai háttérintézménye, a nemzetgazdasági érdekek, az állam biztonságpolitikája, valamint a nemzetközi fegyverkorlátozási és exportellenőrzési rezsimek tiszteletben tartásával, egységes rendszerben lássa el feladatait.</w:t>
      </w:r>
    </w:p>
    <w:p w14:paraId="7292F329" w14:textId="77777777" w:rsidR="00E655B8" w:rsidRPr="005952A7" w:rsidRDefault="00E655B8" w:rsidP="00E655B8">
      <w:pPr>
        <w:jc w:val="both"/>
      </w:pPr>
      <w:r w:rsidRPr="005952A7">
        <w:lastRenderedPageBreak/>
        <w:t>[2] A rendelet célja, hogy a hazai védelmi ipar fejlesztésével kapcsolatos közfeladatainak ellátása mellett az űripar fejlesztésében vállalt közfeladatokat egységesen rögzítse, ezzel is kihasználva a két iparág közötti szinergiákat, elősegítve az iparági szereplők versenyképességét, a vállalatok nemzetközi piaci jelenlétének és fejlesztési programokban való részvételének bővítését.</w:t>
      </w:r>
    </w:p>
    <w:p w14:paraId="0A87577F" w14:textId="77777777" w:rsidR="00E655B8" w:rsidRPr="005952A7" w:rsidRDefault="00E655B8" w:rsidP="00E655B8">
      <w:pPr>
        <w:numPr>
          <w:ilvl w:val="0"/>
          <w:numId w:val="17"/>
        </w:numPr>
        <w:jc w:val="both"/>
      </w:pPr>
      <w:r w:rsidRPr="005952A7">
        <w:rPr>
          <w:b/>
          <w:bCs/>
        </w:rPr>
        <w:t>NEMZETGAZDASÁGI SZEMPONTBÓL KIEMELT JELENTŐSÉGŰ ÜGY</w:t>
      </w:r>
    </w:p>
    <w:p w14:paraId="05345053" w14:textId="77777777" w:rsidR="00E655B8" w:rsidRPr="005952A7" w:rsidRDefault="00E655B8" w:rsidP="00E655B8">
      <w:pPr>
        <w:jc w:val="both"/>
      </w:pPr>
      <w:r w:rsidRPr="005952A7">
        <w:rPr>
          <w:b/>
          <w:bCs/>
        </w:rPr>
        <w:t>301/2025. (X. 6.) Korm. rendelet az egyes gazdaságfejlesztési célú és munkahelyteremtő beruházásokkal összefüggő közigazgatási hatósági ügyek nemzetgazdasági szempontból kiemelt jelentőségű üggyé nyilvánításáról, valamint egyes nemzetgazdasági szempontból kiemelt jelentőségű üggyé nyilvánításról szóló kormányrendeletek módosításáról szóló </w:t>
      </w:r>
      <w:hyperlink r:id="rId19" w:tgtFrame="_blank" w:history="1">
        <w:r w:rsidRPr="005952A7">
          <w:rPr>
            <w:rStyle w:val="Hiperhivatkozs"/>
            <w:b/>
            <w:bCs/>
          </w:rPr>
          <w:t>141/2018. (VII. 27.) Korm. rendelet</w:t>
        </w:r>
      </w:hyperlink>
      <w:r w:rsidRPr="005952A7">
        <w:rPr>
          <w:b/>
          <w:bCs/>
        </w:rPr>
        <w:t> módosításáról</w:t>
      </w:r>
    </w:p>
    <w:p w14:paraId="42FA2192" w14:textId="77777777" w:rsidR="00E655B8" w:rsidRPr="005952A7" w:rsidRDefault="00E655B8" w:rsidP="00E655B8">
      <w:pPr>
        <w:jc w:val="both"/>
      </w:pPr>
      <w:r w:rsidRPr="005952A7">
        <w:t>[1] A kormányrendelet módosítása a Magyarország területén megvalósuló kiemelt beruházások gyorsabb, egyszerűbb és egységesebb eljárási rendben történő megvalósítását célozza a befektetés-ösztönzési és gazdaságfejlesztési célkitűzések, valamint a nemzetgazdaság versenyképességének növelése érdekében.</w:t>
      </w:r>
    </w:p>
    <w:p w14:paraId="10E6B855" w14:textId="77777777" w:rsidR="00E655B8" w:rsidRPr="005952A7" w:rsidRDefault="00E655B8" w:rsidP="00E655B8">
      <w:pPr>
        <w:numPr>
          <w:ilvl w:val="0"/>
          <w:numId w:val="18"/>
        </w:numPr>
        <w:jc w:val="both"/>
      </w:pPr>
      <w:r w:rsidRPr="005952A7">
        <w:rPr>
          <w:b/>
          <w:bCs/>
        </w:rPr>
        <w:t>NEMZETI ELLENÁLLÓ KÉPESSÉG</w:t>
      </w:r>
    </w:p>
    <w:p w14:paraId="7E3A43A1" w14:textId="77777777" w:rsidR="00E655B8" w:rsidRPr="005952A7" w:rsidRDefault="00E655B8" w:rsidP="00E655B8">
      <w:pPr>
        <w:jc w:val="both"/>
      </w:pPr>
      <w:r w:rsidRPr="005952A7">
        <w:rPr>
          <w:b/>
          <w:bCs/>
        </w:rPr>
        <w:t>321/2025. (X. 20.) Korm. rendelet az ország védelme és biztonsága szempontjából jelentős szervezetek ellenálló képességéről szóló </w:t>
      </w:r>
      <w:hyperlink r:id="rId20" w:tgtFrame="_blank" w:history="1">
        <w:r w:rsidRPr="005952A7">
          <w:rPr>
            <w:rStyle w:val="Hiperhivatkozs"/>
            <w:b/>
            <w:bCs/>
          </w:rPr>
          <w:t>475/2024. (XII. 31.) Korm. rendelet</w:t>
        </w:r>
      </w:hyperlink>
      <w:r w:rsidRPr="005952A7">
        <w:rPr>
          <w:b/>
          <w:bCs/>
        </w:rPr>
        <w:t> módosításáról</w:t>
      </w:r>
    </w:p>
    <w:p w14:paraId="1C4184E1" w14:textId="77777777" w:rsidR="00E655B8" w:rsidRPr="005952A7" w:rsidRDefault="00E655B8" w:rsidP="00E655B8">
      <w:pPr>
        <w:jc w:val="both"/>
      </w:pPr>
      <w:r w:rsidRPr="005952A7">
        <w:t>[1] A nemzeti ellenálló képességi rendszer fejlesztése, valamint a gazdasági szereplők versenyképességének megőrzése érdekében a kritikus szervezetek, továbbá az ország védelme és biztonsága szempontjából jelentős szervezetek, infrastruktúrák folyamatos monitorozása, illetve a vonatkozó szabályozás felülvizsgálata szükséges. A felülvizsgálat eredményeként indokolt a gyártási ágazatban a szervezeti kijelölés alapjául szolgáló egyes ágazati kritériumok módosítása, továbbá a gazdasági tevékenységek egységes ágazati osztályozási rendszerének 2025. január 1-jétől hatályos változásainak technikai jellegű átvezetése.</w:t>
      </w:r>
    </w:p>
    <w:p w14:paraId="18937C4A" w14:textId="77777777" w:rsidR="00E655B8" w:rsidRPr="005952A7" w:rsidRDefault="00E655B8" w:rsidP="00E655B8">
      <w:pPr>
        <w:jc w:val="both"/>
      </w:pPr>
      <w:r w:rsidRPr="005952A7">
        <w:rPr>
          <w:b/>
          <w:bCs/>
        </w:rPr>
        <w:t> </w:t>
      </w:r>
    </w:p>
    <w:p w14:paraId="6D13E079" w14:textId="77777777" w:rsidR="00E655B8" w:rsidRPr="005952A7" w:rsidRDefault="00E655B8" w:rsidP="00E655B8">
      <w:pPr>
        <w:numPr>
          <w:ilvl w:val="0"/>
          <w:numId w:val="19"/>
        </w:numPr>
        <w:jc w:val="both"/>
      </w:pPr>
      <w:r w:rsidRPr="005952A7">
        <w:rPr>
          <w:b/>
          <w:bCs/>
        </w:rPr>
        <w:t>PILÓTA NÉLKÜLI ÁLLAMI LÉGIJÁRMŰVEK</w:t>
      </w:r>
    </w:p>
    <w:p w14:paraId="2E9767A3" w14:textId="77777777" w:rsidR="00E655B8" w:rsidRPr="005952A7" w:rsidRDefault="00E655B8" w:rsidP="00E655B8">
      <w:pPr>
        <w:jc w:val="both"/>
      </w:pPr>
      <w:r w:rsidRPr="005952A7">
        <w:rPr>
          <w:b/>
          <w:bCs/>
        </w:rPr>
        <w:t>307/2025. (X. 9.) Korm. rendelet -a pilóta nélküli állami légijárművek repüléséről</w:t>
      </w:r>
    </w:p>
    <w:p w14:paraId="016F9E6D" w14:textId="77777777" w:rsidR="00E655B8" w:rsidRPr="005952A7" w:rsidRDefault="00E655B8" w:rsidP="00E655B8">
      <w:pPr>
        <w:jc w:val="both"/>
      </w:pPr>
      <w:r w:rsidRPr="005952A7">
        <w:t>[1] A kormányrendelet célja, hogy a gyorsan változó technikai környezetben lehetőséget teremtsen a pilóta nélküli légijárművek állami célú repülésben történő alkalmazására, az eszközök rövid határidővel történő rendszeresítésére.</w:t>
      </w:r>
    </w:p>
    <w:p w14:paraId="321D76A4" w14:textId="77777777" w:rsidR="00E655B8" w:rsidRPr="005952A7" w:rsidRDefault="00E655B8" w:rsidP="00E655B8">
      <w:pPr>
        <w:jc w:val="both"/>
      </w:pPr>
      <w:r w:rsidRPr="005952A7">
        <w:lastRenderedPageBreak/>
        <w:t>[2] A kormányrendelet a honvédelmi érdekekkel összhangban megteremti a cirkálólőszerek rendszeresítésének jogi lehetőségét azzal, hogy külön kategóriába sorolja a cirkálólőszernek minősülő pilóta nélküli állami légijárműveket</w:t>
      </w:r>
    </w:p>
    <w:p w14:paraId="2F5D5084" w14:textId="77777777" w:rsidR="00E655B8" w:rsidRPr="005952A7" w:rsidRDefault="00E655B8" w:rsidP="00E655B8">
      <w:pPr>
        <w:jc w:val="both"/>
      </w:pPr>
      <w:r w:rsidRPr="005952A7">
        <w:t>79.</w:t>
      </w:r>
      <w:r w:rsidRPr="005952A7">
        <w:rPr>
          <w:rFonts w:ascii="Arial" w:hAnsi="Arial" w:cs="Arial"/>
        </w:rPr>
        <w:t> </w:t>
      </w:r>
      <w:r w:rsidRPr="005952A7">
        <w:rPr>
          <w:rFonts w:ascii="Aptos" w:hAnsi="Aptos" w:cs="Aptos"/>
        </w:rPr>
        <w:t>§</w:t>
      </w:r>
      <w:r w:rsidRPr="005952A7">
        <w:t xml:space="preserve"> Hat</w:t>
      </w:r>
      <w:r w:rsidRPr="005952A7">
        <w:rPr>
          <w:rFonts w:ascii="Aptos" w:hAnsi="Aptos" w:cs="Aptos"/>
        </w:rPr>
        <w:t>á</w:t>
      </w:r>
      <w:r w:rsidRPr="005952A7">
        <w:t>ly</w:t>
      </w:r>
      <w:r w:rsidRPr="005952A7">
        <w:rPr>
          <w:rFonts w:ascii="Aptos" w:hAnsi="Aptos" w:cs="Aptos"/>
        </w:rPr>
        <w:t>á</w:t>
      </w:r>
      <w:r w:rsidRPr="005952A7">
        <w:t>t veszti a pil</w:t>
      </w:r>
      <w:r w:rsidRPr="005952A7">
        <w:rPr>
          <w:rFonts w:ascii="Aptos" w:hAnsi="Aptos" w:cs="Aptos"/>
        </w:rPr>
        <w:t>ó</w:t>
      </w:r>
      <w:r w:rsidRPr="005952A7">
        <w:t>ta n</w:t>
      </w:r>
      <w:r w:rsidRPr="005952A7">
        <w:rPr>
          <w:rFonts w:ascii="Aptos" w:hAnsi="Aptos" w:cs="Aptos"/>
        </w:rPr>
        <w:t>é</w:t>
      </w:r>
      <w:r w:rsidRPr="005952A7">
        <w:t>lk</w:t>
      </w:r>
      <w:r w:rsidRPr="005952A7">
        <w:rPr>
          <w:rFonts w:ascii="Aptos" w:hAnsi="Aptos" w:cs="Aptos"/>
        </w:rPr>
        <w:t>ü</w:t>
      </w:r>
      <w:r w:rsidRPr="005952A7">
        <w:t xml:space="preserve">li </w:t>
      </w:r>
      <w:r w:rsidRPr="005952A7">
        <w:rPr>
          <w:rFonts w:ascii="Aptos" w:hAnsi="Aptos" w:cs="Aptos"/>
        </w:rPr>
        <w:t>á</w:t>
      </w:r>
      <w:r w:rsidRPr="005952A7">
        <w:t>llami l</w:t>
      </w:r>
      <w:r w:rsidRPr="005952A7">
        <w:rPr>
          <w:rFonts w:ascii="Aptos" w:hAnsi="Aptos" w:cs="Aptos"/>
        </w:rPr>
        <w:t>é</w:t>
      </w:r>
      <w:r w:rsidRPr="005952A7">
        <w:t>gij</w:t>
      </w:r>
      <w:r w:rsidRPr="005952A7">
        <w:rPr>
          <w:rFonts w:ascii="Aptos" w:hAnsi="Aptos" w:cs="Aptos"/>
        </w:rPr>
        <w:t>á</w:t>
      </w:r>
      <w:r w:rsidRPr="005952A7">
        <w:t>rm</w:t>
      </w:r>
      <w:r w:rsidRPr="005952A7">
        <w:rPr>
          <w:rFonts w:ascii="Aptos" w:hAnsi="Aptos" w:cs="Aptos"/>
        </w:rPr>
        <w:t>ű</w:t>
      </w:r>
      <w:r w:rsidRPr="005952A7">
        <w:t>vek rep</w:t>
      </w:r>
      <w:r w:rsidRPr="005952A7">
        <w:rPr>
          <w:rFonts w:ascii="Aptos" w:hAnsi="Aptos" w:cs="Aptos"/>
        </w:rPr>
        <w:t>ü</w:t>
      </w:r>
      <w:r w:rsidRPr="005952A7">
        <w:t>l</w:t>
      </w:r>
      <w:r w:rsidRPr="005952A7">
        <w:rPr>
          <w:rFonts w:ascii="Aptos" w:hAnsi="Aptos" w:cs="Aptos"/>
        </w:rPr>
        <w:t>é</w:t>
      </w:r>
      <w:r w:rsidRPr="005952A7">
        <w:t>s</w:t>
      </w:r>
      <w:r w:rsidRPr="005952A7">
        <w:rPr>
          <w:rFonts w:ascii="Aptos" w:hAnsi="Aptos" w:cs="Aptos"/>
        </w:rPr>
        <w:t>é</w:t>
      </w:r>
      <w:r w:rsidRPr="005952A7">
        <w:t>r</w:t>
      </w:r>
      <w:r w:rsidRPr="005952A7">
        <w:rPr>
          <w:rFonts w:ascii="Aptos" w:hAnsi="Aptos" w:cs="Aptos"/>
        </w:rPr>
        <w:t>ő</w:t>
      </w:r>
      <w:r w:rsidRPr="005952A7">
        <w:t>l sz</w:t>
      </w:r>
      <w:r w:rsidRPr="005952A7">
        <w:rPr>
          <w:rFonts w:ascii="Aptos" w:hAnsi="Aptos" w:cs="Aptos"/>
        </w:rPr>
        <w:t>ó</w:t>
      </w:r>
      <w:r w:rsidRPr="005952A7">
        <w:t>l</w:t>
      </w:r>
      <w:r w:rsidRPr="005952A7">
        <w:rPr>
          <w:rFonts w:ascii="Aptos" w:hAnsi="Aptos" w:cs="Aptos"/>
        </w:rPr>
        <w:t>ó </w:t>
      </w:r>
      <w:hyperlink r:id="rId21" w:tgtFrame="_blank" w:history="1">
        <w:r w:rsidRPr="005952A7">
          <w:rPr>
            <w:rStyle w:val="Hiperhivatkozs"/>
            <w:b/>
            <w:bCs/>
          </w:rPr>
          <w:t>38/2021. (II. 2.) Korm. rendelet</w:t>
        </w:r>
      </w:hyperlink>
    </w:p>
    <w:p w14:paraId="29E69C40" w14:textId="77777777" w:rsidR="00E655B8" w:rsidRPr="005952A7" w:rsidRDefault="00E655B8" w:rsidP="00E655B8">
      <w:pPr>
        <w:numPr>
          <w:ilvl w:val="0"/>
          <w:numId w:val="20"/>
        </w:numPr>
        <w:jc w:val="both"/>
      </w:pPr>
      <w:r w:rsidRPr="005952A7">
        <w:rPr>
          <w:b/>
          <w:bCs/>
        </w:rPr>
        <w:t>SPORTAKADÉMIÁK</w:t>
      </w:r>
    </w:p>
    <w:p w14:paraId="0F051F9A" w14:textId="77777777" w:rsidR="00E655B8" w:rsidRPr="005952A7" w:rsidRDefault="00E655B8" w:rsidP="00E655B8">
      <w:pPr>
        <w:jc w:val="both"/>
      </w:pPr>
      <w:r w:rsidRPr="005952A7">
        <w:rPr>
          <w:b/>
          <w:bCs/>
        </w:rPr>
        <w:t>322/2025. (X. 20.) Korm. rendelet a sportakadémiák látvány-csapatsport támogatásáról szóló </w:t>
      </w:r>
      <w:hyperlink r:id="rId22" w:tgtFrame="_blank" w:history="1">
        <w:r w:rsidRPr="005952A7">
          <w:rPr>
            <w:rStyle w:val="Hiperhivatkozs"/>
            <w:b/>
            <w:bCs/>
          </w:rPr>
          <w:t>214/2025. (VII. 22.) Korm. rendelet</w:t>
        </w:r>
      </w:hyperlink>
      <w:r w:rsidRPr="005952A7">
        <w:rPr>
          <w:b/>
          <w:bCs/>
        </w:rPr>
        <w:t> módosításáról</w:t>
      </w:r>
    </w:p>
    <w:p w14:paraId="529A18B2" w14:textId="77777777" w:rsidR="00E655B8" w:rsidRPr="005952A7" w:rsidRDefault="00E655B8" w:rsidP="00E655B8">
      <w:pPr>
        <w:jc w:val="both"/>
      </w:pPr>
      <w:r w:rsidRPr="005952A7">
        <w:t>[1] A Kormány célja, hogy kiemelten támogassa a látvány-csapatsportokban tevékenykedő sportakadémiák által megvalósított magas szintű utánpótlás-nevelési munkát.</w:t>
      </w:r>
    </w:p>
    <w:p w14:paraId="7CB23A44" w14:textId="77777777" w:rsidR="00E655B8" w:rsidRPr="005952A7" w:rsidRDefault="00E655B8" w:rsidP="00E655B8">
      <w:pPr>
        <w:jc w:val="both"/>
      </w:pPr>
      <w:r w:rsidRPr="005952A7">
        <w:t>[2] A sportfejlesztési program módosításának és hosszabbításának lehetővé tétele a sportakadémiák tárgyi eszköz beruházásra, felújításra irányuló sportfejlesztési programjai esetében elősegíti a látvány-csapatsport támogatás intenzív felhasználását.</w:t>
      </w:r>
    </w:p>
    <w:p w14:paraId="5C7243E1" w14:textId="77777777" w:rsidR="00E655B8" w:rsidRPr="005952A7" w:rsidRDefault="00E655B8" w:rsidP="00E655B8">
      <w:pPr>
        <w:jc w:val="both"/>
      </w:pPr>
      <w:r w:rsidRPr="005952A7">
        <w:t>[3] A látvány-csapatsportokban tevékenykedő sportakadémiák sportfejlesztési programjainak gördülékenyebb megvalósulása céljából az utófinanszírozott építési beruházások esetén egyszerűsödik a sportfejlesztési programok jóváhagyása.</w:t>
      </w:r>
    </w:p>
    <w:p w14:paraId="26A2EE46" w14:textId="77777777" w:rsidR="00E655B8" w:rsidRPr="005952A7" w:rsidRDefault="00E655B8" w:rsidP="00E655B8">
      <w:pPr>
        <w:numPr>
          <w:ilvl w:val="0"/>
          <w:numId w:val="21"/>
        </w:numPr>
        <w:jc w:val="both"/>
      </w:pPr>
      <w:r w:rsidRPr="005952A7">
        <w:rPr>
          <w:b/>
          <w:bCs/>
        </w:rPr>
        <w:t>TÁRSADALOMBIZTOSÍTÁSI NYUGELLÁTÁSRÓL</w:t>
      </w:r>
    </w:p>
    <w:p w14:paraId="539BBD9C" w14:textId="77777777" w:rsidR="00E655B8" w:rsidRPr="005952A7" w:rsidRDefault="00E655B8" w:rsidP="00E655B8">
      <w:pPr>
        <w:jc w:val="both"/>
      </w:pPr>
      <w:r w:rsidRPr="005952A7">
        <w:rPr>
          <w:b/>
          <w:bCs/>
        </w:rPr>
        <w:t>309/2025. (X. 9.) Korm. rendelet a társadalombiztosítási nyugellátásról szóló 1997. évi LXXXI. törvény végrehajtásáról szóló 168/1997. (X. 6.) Korm. rendelet, valamint a közszférában alkalmazandó nyugdíjpolitikai elveknek az egészségügyi dolgozók vonatkozásában történő érvényesítéséről és végrehajtásáról szóló 124/2013. (IV. 26.) Korm. rendelet módosításáról</w:t>
      </w:r>
    </w:p>
    <w:p w14:paraId="18C5DCC5" w14:textId="77777777" w:rsidR="00E655B8" w:rsidRPr="005952A7" w:rsidRDefault="00E655B8" w:rsidP="00E655B8">
      <w:pPr>
        <w:jc w:val="both"/>
      </w:pPr>
      <w:r w:rsidRPr="005952A7">
        <w:t>[1] A Kormány mentesíti az egészségügyi és az egészségügyben dolgozókat az öregségi nyugdíjuknak, a korhatár előtti nyugdíjszerű ellátásuknak a jogviszonytípusára tekintettel fennálló szüneteltetése alól.</w:t>
      </w:r>
    </w:p>
    <w:p w14:paraId="79B335E6" w14:textId="77777777" w:rsidR="00E655B8" w:rsidRPr="005952A7" w:rsidRDefault="00E655B8" w:rsidP="00E655B8">
      <w:pPr>
        <w:numPr>
          <w:ilvl w:val="0"/>
          <w:numId w:val="22"/>
        </w:numPr>
        <w:jc w:val="both"/>
      </w:pPr>
      <w:r w:rsidRPr="005952A7">
        <w:rPr>
          <w:b/>
          <w:bCs/>
        </w:rPr>
        <w:t>VILLAMOS ENERGIA, DIGITALIZÁCIÓ, KIBERBIZTONSÁG</w:t>
      </w:r>
    </w:p>
    <w:p w14:paraId="6B27AB91" w14:textId="77777777" w:rsidR="00E655B8" w:rsidRPr="005952A7" w:rsidRDefault="00E655B8" w:rsidP="00E655B8">
      <w:pPr>
        <w:jc w:val="both"/>
      </w:pPr>
      <w:r w:rsidRPr="005952A7">
        <w:rPr>
          <w:b/>
          <w:bCs/>
        </w:rPr>
        <w:t>308/2025. (X. 9.) Korm. rendelet a villamos energiával, a digitalizációval, valamint a kiberbiztonsággal összefüggő kormányrendeletek módosításáról</w:t>
      </w:r>
    </w:p>
    <w:p w14:paraId="6BEDD2FB" w14:textId="77777777" w:rsidR="00E655B8" w:rsidRPr="005952A7" w:rsidRDefault="00E655B8" w:rsidP="00E655B8">
      <w:pPr>
        <w:jc w:val="both"/>
      </w:pPr>
      <w:r w:rsidRPr="005952A7">
        <w:t>[1] A villamos energia rendszerhasználók és az engedélyesek jogaival és kötelezettségeivel kapcsolatos egységes jogalkalmazói gyakorlat elősegítése kiemelt szakpolitikai feladat.</w:t>
      </w:r>
    </w:p>
    <w:p w14:paraId="1DC3EA63" w14:textId="77777777" w:rsidR="00E655B8" w:rsidRPr="005952A7" w:rsidRDefault="00E655B8" w:rsidP="00E655B8">
      <w:pPr>
        <w:jc w:val="both"/>
      </w:pPr>
      <w:r w:rsidRPr="005952A7">
        <w:t>[2] A Kormány elkötelezett az új digitális szolgáltatások bevezetése mellett. A jelen módosítás az állampolgárok digitális térben történő levelezését, dokumentum küldését és fogadását érinti.</w:t>
      </w:r>
    </w:p>
    <w:p w14:paraId="00038D8B" w14:textId="77777777" w:rsidR="00E655B8" w:rsidRPr="005952A7" w:rsidRDefault="00E655B8" w:rsidP="00E655B8">
      <w:pPr>
        <w:jc w:val="both"/>
      </w:pPr>
      <w:r w:rsidRPr="005952A7">
        <w:lastRenderedPageBreak/>
        <w:t>[3] A Magyarország kiberbiztonságáról szóló törvény végrehajtásáról szóló </w:t>
      </w:r>
      <w:hyperlink r:id="rId23" w:tgtFrame="_blank" w:history="1">
        <w:r w:rsidRPr="005952A7">
          <w:rPr>
            <w:rStyle w:val="Hiperhivatkozs"/>
            <w:b/>
            <w:bCs/>
          </w:rPr>
          <w:t>418/2024. (XII. 23.) Korm. rendelet</w:t>
        </w:r>
      </w:hyperlink>
      <w:r w:rsidRPr="005952A7">
        <w:t> módosításának célja a kiberszolidaritásról szóló rendelet alapján létrehozásra kerülő Európai Kiberbiztonsági Riasztási Rendszerben, valamint egy határokon átnyúló kiberközpont tevékenységében való részvétel érdekében a nemzeti kiberközpont kijelölése.</w:t>
      </w:r>
    </w:p>
    <w:p w14:paraId="2359BC1B" w14:textId="77777777" w:rsidR="00E655B8" w:rsidRPr="005952A7" w:rsidRDefault="00E655B8" w:rsidP="00E655B8">
      <w:pPr>
        <w:jc w:val="both"/>
      </w:pPr>
      <w:r w:rsidRPr="005952A7">
        <w:t>Módosul:</w:t>
      </w:r>
    </w:p>
    <w:p w14:paraId="44920A89" w14:textId="77777777" w:rsidR="00E655B8" w:rsidRPr="005952A7" w:rsidRDefault="00E655B8" w:rsidP="00E655B8">
      <w:pPr>
        <w:numPr>
          <w:ilvl w:val="0"/>
          <w:numId w:val="23"/>
        </w:numPr>
        <w:jc w:val="both"/>
      </w:pPr>
      <w:r w:rsidRPr="005952A7">
        <w:t>A villamos energiáról szóló </w:t>
      </w:r>
      <w:hyperlink r:id="rId24" w:tgtFrame="_blank" w:history="1">
        <w:r w:rsidRPr="005952A7">
          <w:rPr>
            <w:rStyle w:val="Hiperhivatkozs"/>
            <w:b/>
            <w:bCs/>
          </w:rPr>
          <w:t>2007. évi LXXXVI. törvény</w:t>
        </w:r>
      </w:hyperlink>
      <w:r w:rsidRPr="005952A7">
        <w:t> egyes rendelkezéseinek végrehajtásáról szóló </w:t>
      </w:r>
      <w:hyperlink r:id="rId25" w:tgtFrame="_blank" w:history="1">
        <w:r w:rsidRPr="005952A7">
          <w:rPr>
            <w:rStyle w:val="Hiperhivatkozs"/>
            <w:b/>
            <w:bCs/>
          </w:rPr>
          <w:t>273/2007. (X. 19.) Korm. rendelet</w:t>
        </w:r>
      </w:hyperlink>
    </w:p>
    <w:p w14:paraId="31AB104F" w14:textId="77777777" w:rsidR="00E655B8" w:rsidRPr="005952A7" w:rsidRDefault="00E655B8" w:rsidP="00E655B8">
      <w:pPr>
        <w:numPr>
          <w:ilvl w:val="0"/>
          <w:numId w:val="23"/>
        </w:numPr>
        <w:jc w:val="both"/>
      </w:pPr>
      <w:r w:rsidRPr="005952A7">
        <w:t>A digitális állam megvalósításához kapcsolódó egyes szervezetek kijelöléséről szóló </w:t>
      </w:r>
      <w:hyperlink r:id="rId26" w:tgtFrame="_blank" w:history="1">
        <w:r w:rsidRPr="005952A7">
          <w:rPr>
            <w:rStyle w:val="Hiperhivatkozs"/>
            <w:b/>
            <w:bCs/>
          </w:rPr>
          <w:t>320/2024. (XI. 6.) Korm. rendelet</w:t>
        </w:r>
      </w:hyperlink>
    </w:p>
    <w:p w14:paraId="0A9D8377" w14:textId="77777777" w:rsidR="00E655B8" w:rsidRPr="005952A7" w:rsidRDefault="00E655B8" w:rsidP="00E655B8">
      <w:pPr>
        <w:jc w:val="both"/>
      </w:pPr>
      <w:r w:rsidRPr="005952A7">
        <w:t>3. A Magyarország kiberbiztonságáról szóló törvény végrehajtásáról szóló </w:t>
      </w:r>
      <w:hyperlink r:id="rId27" w:tgtFrame="_blank" w:history="1">
        <w:r w:rsidRPr="005952A7">
          <w:rPr>
            <w:rStyle w:val="Hiperhivatkozs"/>
            <w:b/>
            <w:bCs/>
          </w:rPr>
          <w:t>418/2024. (XII. 23.) Korm. rende</w:t>
        </w:r>
      </w:hyperlink>
      <w:r w:rsidRPr="005952A7">
        <w:rPr>
          <w:b/>
          <w:bCs/>
          <w:u w:val="single"/>
        </w:rPr>
        <w:t>let</w:t>
      </w:r>
    </w:p>
    <w:p w14:paraId="24340594" w14:textId="77777777" w:rsidR="00E655B8" w:rsidRDefault="00E655B8"/>
    <w:sectPr w:rsidR="00E655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A3979"/>
    <w:multiLevelType w:val="multilevel"/>
    <w:tmpl w:val="4B80FE7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7A41B4"/>
    <w:multiLevelType w:val="multilevel"/>
    <w:tmpl w:val="D3E4866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E51A36"/>
    <w:multiLevelType w:val="multilevel"/>
    <w:tmpl w:val="96D01E9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69529E"/>
    <w:multiLevelType w:val="multilevel"/>
    <w:tmpl w:val="6AE41A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3D59FD"/>
    <w:multiLevelType w:val="multilevel"/>
    <w:tmpl w:val="345AEC1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42118E"/>
    <w:multiLevelType w:val="multilevel"/>
    <w:tmpl w:val="3E828BB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DB4C73"/>
    <w:multiLevelType w:val="multilevel"/>
    <w:tmpl w:val="2D28DD8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F42F20"/>
    <w:multiLevelType w:val="multilevel"/>
    <w:tmpl w:val="37449BC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134317"/>
    <w:multiLevelType w:val="multilevel"/>
    <w:tmpl w:val="0742BED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452155"/>
    <w:multiLevelType w:val="multilevel"/>
    <w:tmpl w:val="DA569E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F4691C"/>
    <w:multiLevelType w:val="multilevel"/>
    <w:tmpl w:val="58181B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34026D"/>
    <w:multiLevelType w:val="multilevel"/>
    <w:tmpl w:val="7C28697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804AB8"/>
    <w:multiLevelType w:val="multilevel"/>
    <w:tmpl w:val="5F72FD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3C5074"/>
    <w:multiLevelType w:val="multilevel"/>
    <w:tmpl w:val="6374C8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125B1B"/>
    <w:multiLevelType w:val="multilevel"/>
    <w:tmpl w:val="B630D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D275EC"/>
    <w:multiLevelType w:val="multilevel"/>
    <w:tmpl w:val="82403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6B7DC9"/>
    <w:multiLevelType w:val="multilevel"/>
    <w:tmpl w:val="BB9E2C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3409B2"/>
    <w:multiLevelType w:val="multilevel"/>
    <w:tmpl w:val="5BBA69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78149A"/>
    <w:multiLevelType w:val="multilevel"/>
    <w:tmpl w:val="0AB41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5D41F7"/>
    <w:multiLevelType w:val="multilevel"/>
    <w:tmpl w:val="B73881B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C405B4"/>
    <w:multiLevelType w:val="multilevel"/>
    <w:tmpl w:val="EBEEA9E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D3491A"/>
    <w:multiLevelType w:val="multilevel"/>
    <w:tmpl w:val="53926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294823"/>
    <w:multiLevelType w:val="multilevel"/>
    <w:tmpl w:val="443622E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4780750">
    <w:abstractNumId w:val="15"/>
  </w:num>
  <w:num w:numId="2" w16cid:durableId="810251550">
    <w:abstractNumId w:val="21"/>
  </w:num>
  <w:num w:numId="3" w16cid:durableId="1436515732">
    <w:abstractNumId w:val="17"/>
  </w:num>
  <w:num w:numId="4" w16cid:durableId="333797961">
    <w:abstractNumId w:val="16"/>
  </w:num>
  <w:num w:numId="5" w16cid:durableId="663776762">
    <w:abstractNumId w:val="13"/>
  </w:num>
  <w:num w:numId="6" w16cid:durableId="152643664">
    <w:abstractNumId w:val="10"/>
  </w:num>
  <w:num w:numId="7" w16cid:durableId="676613000">
    <w:abstractNumId w:val="3"/>
  </w:num>
  <w:num w:numId="8" w16cid:durableId="1169053913">
    <w:abstractNumId w:val="12"/>
  </w:num>
  <w:num w:numId="9" w16cid:durableId="706293297">
    <w:abstractNumId w:val="9"/>
  </w:num>
  <w:num w:numId="10" w16cid:durableId="2061662254">
    <w:abstractNumId w:val="4"/>
  </w:num>
  <w:num w:numId="11" w16cid:durableId="1245650833">
    <w:abstractNumId w:val="11"/>
  </w:num>
  <w:num w:numId="12" w16cid:durableId="1208375204">
    <w:abstractNumId w:val="2"/>
  </w:num>
  <w:num w:numId="13" w16cid:durableId="324238443">
    <w:abstractNumId w:val="20"/>
  </w:num>
  <w:num w:numId="14" w16cid:durableId="1738093753">
    <w:abstractNumId w:val="22"/>
  </w:num>
  <w:num w:numId="15" w16cid:durableId="215094620">
    <w:abstractNumId w:val="14"/>
  </w:num>
  <w:num w:numId="16" w16cid:durableId="159080015">
    <w:abstractNumId w:val="1"/>
  </w:num>
  <w:num w:numId="17" w16cid:durableId="534394601">
    <w:abstractNumId w:val="8"/>
  </w:num>
  <w:num w:numId="18" w16cid:durableId="1364670919">
    <w:abstractNumId w:val="7"/>
  </w:num>
  <w:num w:numId="19" w16cid:durableId="1687906258">
    <w:abstractNumId w:val="5"/>
  </w:num>
  <w:num w:numId="20" w16cid:durableId="544297722">
    <w:abstractNumId w:val="6"/>
  </w:num>
  <w:num w:numId="21" w16cid:durableId="1050809614">
    <w:abstractNumId w:val="0"/>
  </w:num>
  <w:num w:numId="22" w16cid:durableId="759715271">
    <w:abstractNumId w:val="19"/>
  </w:num>
  <w:num w:numId="23" w16cid:durableId="19761757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B8"/>
    <w:rsid w:val="000219F8"/>
    <w:rsid w:val="002243E0"/>
    <w:rsid w:val="004F1A91"/>
    <w:rsid w:val="006B715C"/>
    <w:rsid w:val="00E655B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94D91"/>
  <w15:chartTrackingRefBased/>
  <w15:docId w15:val="{EE70B789-EF24-426A-B08B-270B5A665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655B8"/>
  </w:style>
  <w:style w:type="paragraph" w:styleId="Cmsor1">
    <w:name w:val="heading 1"/>
    <w:basedOn w:val="Norml"/>
    <w:next w:val="Norml"/>
    <w:link w:val="Cmsor1Char"/>
    <w:uiPriority w:val="9"/>
    <w:qFormat/>
    <w:rsid w:val="00E655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E655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E655B8"/>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E655B8"/>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E655B8"/>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E655B8"/>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E655B8"/>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E655B8"/>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E655B8"/>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655B8"/>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E655B8"/>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E655B8"/>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E655B8"/>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E655B8"/>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E655B8"/>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E655B8"/>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E655B8"/>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E655B8"/>
    <w:rPr>
      <w:rFonts w:eastAsiaTheme="majorEastAsia" w:cstheme="majorBidi"/>
      <w:color w:val="272727" w:themeColor="text1" w:themeTint="D8"/>
    </w:rPr>
  </w:style>
  <w:style w:type="paragraph" w:styleId="Cm">
    <w:name w:val="Title"/>
    <w:basedOn w:val="Norml"/>
    <w:next w:val="Norml"/>
    <w:link w:val="CmChar"/>
    <w:uiPriority w:val="10"/>
    <w:qFormat/>
    <w:rsid w:val="00E655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E655B8"/>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E655B8"/>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E655B8"/>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E655B8"/>
    <w:pPr>
      <w:spacing w:before="160"/>
      <w:jc w:val="center"/>
    </w:pPr>
    <w:rPr>
      <w:i/>
      <w:iCs/>
      <w:color w:val="404040" w:themeColor="text1" w:themeTint="BF"/>
    </w:rPr>
  </w:style>
  <w:style w:type="character" w:customStyle="1" w:styleId="IdzetChar">
    <w:name w:val="Idézet Char"/>
    <w:basedOn w:val="Bekezdsalapbettpusa"/>
    <w:link w:val="Idzet"/>
    <w:uiPriority w:val="29"/>
    <w:rsid w:val="00E655B8"/>
    <w:rPr>
      <w:i/>
      <w:iCs/>
      <w:color w:val="404040" w:themeColor="text1" w:themeTint="BF"/>
    </w:rPr>
  </w:style>
  <w:style w:type="paragraph" w:styleId="Listaszerbekezds">
    <w:name w:val="List Paragraph"/>
    <w:basedOn w:val="Norml"/>
    <w:uiPriority w:val="34"/>
    <w:qFormat/>
    <w:rsid w:val="00E655B8"/>
    <w:pPr>
      <w:ind w:left="720"/>
      <w:contextualSpacing/>
    </w:pPr>
  </w:style>
  <w:style w:type="character" w:styleId="Erskiemels">
    <w:name w:val="Intense Emphasis"/>
    <w:basedOn w:val="Bekezdsalapbettpusa"/>
    <w:uiPriority w:val="21"/>
    <w:qFormat/>
    <w:rsid w:val="00E655B8"/>
    <w:rPr>
      <w:i/>
      <w:iCs/>
      <w:color w:val="0F4761" w:themeColor="accent1" w:themeShade="BF"/>
    </w:rPr>
  </w:style>
  <w:style w:type="paragraph" w:styleId="Kiemeltidzet">
    <w:name w:val="Intense Quote"/>
    <w:basedOn w:val="Norml"/>
    <w:next w:val="Norml"/>
    <w:link w:val="KiemeltidzetChar"/>
    <w:uiPriority w:val="30"/>
    <w:qFormat/>
    <w:rsid w:val="00E655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E655B8"/>
    <w:rPr>
      <w:i/>
      <w:iCs/>
      <w:color w:val="0F4761" w:themeColor="accent1" w:themeShade="BF"/>
    </w:rPr>
  </w:style>
  <w:style w:type="character" w:styleId="Ershivatkozs">
    <w:name w:val="Intense Reference"/>
    <w:basedOn w:val="Bekezdsalapbettpusa"/>
    <w:uiPriority w:val="32"/>
    <w:qFormat/>
    <w:rsid w:val="00E655B8"/>
    <w:rPr>
      <w:b/>
      <w:bCs/>
      <w:smallCaps/>
      <w:color w:val="0F4761" w:themeColor="accent1" w:themeShade="BF"/>
      <w:spacing w:val="5"/>
    </w:rPr>
  </w:style>
  <w:style w:type="character" w:styleId="Hiperhivatkozs">
    <w:name w:val="Hyperlink"/>
    <w:basedOn w:val="Bekezdsalapbettpusa"/>
    <w:uiPriority w:val="99"/>
    <w:unhideWhenUsed/>
    <w:rsid w:val="00E655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jt.hu/jogszabaly/1999-43-20-22" TargetMode="External"/><Relationship Id="rId13" Type="http://schemas.openxmlformats.org/officeDocument/2006/relationships/hyperlink" Target="https://njt.hu/jogszabaly/2023-241-20-22" TargetMode="External"/><Relationship Id="rId18" Type="http://schemas.openxmlformats.org/officeDocument/2006/relationships/hyperlink" Target="https://njt.hu/jogszabaly/2023-547-20-22" TargetMode="External"/><Relationship Id="rId26" Type="http://schemas.openxmlformats.org/officeDocument/2006/relationships/hyperlink" Target="https://njt.hu/jogszabaly/2024-320-20-22" TargetMode="External"/><Relationship Id="rId3" Type="http://schemas.openxmlformats.org/officeDocument/2006/relationships/settings" Target="settings.xml"/><Relationship Id="rId21" Type="http://schemas.openxmlformats.org/officeDocument/2006/relationships/hyperlink" Target="https://njt.hu/jogszabaly/2021-38-20-22" TargetMode="External"/><Relationship Id="rId7" Type="http://schemas.openxmlformats.org/officeDocument/2006/relationships/hyperlink" Target="https://njt.hu/jogszabaly/2014-210-20-22" TargetMode="External"/><Relationship Id="rId12" Type="http://schemas.openxmlformats.org/officeDocument/2006/relationships/hyperlink" Target="https://njt.hu/jogszabaly/2012-185-00-00" TargetMode="External"/><Relationship Id="rId17" Type="http://schemas.openxmlformats.org/officeDocument/2006/relationships/hyperlink" Target="https://njt.hu/jogszabaly/2017-532-20-22" TargetMode="External"/><Relationship Id="rId25" Type="http://schemas.openxmlformats.org/officeDocument/2006/relationships/hyperlink" Target="https://njt.hu/jogszabaly/2007-273-20-22" TargetMode="External"/><Relationship Id="rId2" Type="http://schemas.openxmlformats.org/officeDocument/2006/relationships/styles" Target="styles.xml"/><Relationship Id="rId16" Type="http://schemas.openxmlformats.org/officeDocument/2006/relationships/hyperlink" Target="https://njt.hu/jogszabaly/2016-382-20-22" TargetMode="External"/><Relationship Id="rId20" Type="http://schemas.openxmlformats.org/officeDocument/2006/relationships/hyperlink" Target="https://njt.hu/jogszabaly/2024-475-20-2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njt.hu/jogszabaly/1996-116-00-00" TargetMode="External"/><Relationship Id="rId11" Type="http://schemas.openxmlformats.org/officeDocument/2006/relationships/hyperlink" Target="https://njt.hu/jogszabaly/2023-2-20-5Z" TargetMode="External"/><Relationship Id="rId24" Type="http://schemas.openxmlformats.org/officeDocument/2006/relationships/hyperlink" Target="https://njt.hu/jogszabaly/2007-86-00-00" TargetMode="External"/><Relationship Id="rId5" Type="http://schemas.openxmlformats.org/officeDocument/2006/relationships/hyperlink" Target="https://njt.hu/jogszabaly/2013-214-20-22" TargetMode="External"/><Relationship Id="rId15" Type="http://schemas.openxmlformats.org/officeDocument/2006/relationships/hyperlink" Target="https://njt.hu/jogszabaly/1998-4-20-22" TargetMode="External"/><Relationship Id="rId23" Type="http://schemas.openxmlformats.org/officeDocument/2006/relationships/hyperlink" Target="https://njt.hu/jogszabaly/2024-418-20-22" TargetMode="External"/><Relationship Id="rId28" Type="http://schemas.openxmlformats.org/officeDocument/2006/relationships/fontTable" Target="fontTable.xml"/><Relationship Id="rId10" Type="http://schemas.openxmlformats.org/officeDocument/2006/relationships/hyperlink" Target="https://njt.hu/jogszabaly/2018-23-20-22" TargetMode="External"/><Relationship Id="rId19" Type="http://schemas.openxmlformats.org/officeDocument/2006/relationships/hyperlink" Target="https://njt.hu/jogszabaly/2018-141-20-22" TargetMode="External"/><Relationship Id="rId4" Type="http://schemas.openxmlformats.org/officeDocument/2006/relationships/webSettings" Target="webSettings.xml"/><Relationship Id="rId9" Type="http://schemas.openxmlformats.org/officeDocument/2006/relationships/hyperlink" Target="https://njt.hu/jogszabaly/2018-141-20-22" TargetMode="External"/><Relationship Id="rId14" Type="http://schemas.openxmlformats.org/officeDocument/2006/relationships/hyperlink" Target="https://njt.hu/jogszabaly/2014-250-20-22" TargetMode="External"/><Relationship Id="rId22" Type="http://schemas.openxmlformats.org/officeDocument/2006/relationships/hyperlink" Target="https://njt.hu/jogszabaly/2025-214-20-22" TargetMode="External"/><Relationship Id="rId27" Type="http://schemas.openxmlformats.org/officeDocument/2006/relationships/hyperlink" Target="https://njt.hu/jogszabaly/2024-418-20-22"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2445</Words>
  <Characters>16878</Characters>
  <Application>Microsoft Office Word</Application>
  <DocSecurity>0</DocSecurity>
  <Lines>140</Lines>
  <Paragraphs>38</Paragraphs>
  <ScaleCrop>false</ScaleCrop>
  <Company/>
  <LinksUpToDate>false</LinksUpToDate>
  <CharactersWithSpaces>19285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Keresztes Anita</dc:creator>
  <cp:keywords/>
  <dc:description/>
  <cp:lastModifiedBy>Keresztes Anita</cp:lastModifiedBy>
  <cp:revision>1</cp:revision>
  <dcterms:created xsi:type="dcterms:W3CDTF">2026-02-20T13:29:00Z</dcterms:created>
  <dcterms:modified xsi:type="dcterms:W3CDTF">2026-02-20T13:32:00Z</dcterms:modified>
</cp:coreProperties>
</file>