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6D09" w14:textId="77777777" w:rsidR="004F294C" w:rsidRPr="00053C97" w:rsidRDefault="004F294C" w:rsidP="004F294C">
      <w:pPr>
        <w:jc w:val="both"/>
        <w:rPr>
          <w:b/>
          <w:bCs/>
        </w:rPr>
      </w:pPr>
      <w:r w:rsidRPr="00053C97">
        <w:rPr>
          <w:b/>
          <w:bCs/>
        </w:rPr>
        <w:t xml:space="preserve">A LEGFONTOSABB ÚJ JOGSZABÁLYOK ÉS JOGSZABÁLYVÁLTOZÁSOK </w:t>
      </w:r>
    </w:p>
    <w:p w14:paraId="133CC272" w14:textId="068075EB" w:rsidR="004F294C" w:rsidRDefault="004F294C" w:rsidP="004F294C">
      <w:pPr>
        <w:jc w:val="both"/>
      </w:pPr>
      <w:r w:rsidRPr="00053C97">
        <w:rPr>
          <w:b/>
          <w:bCs/>
        </w:rPr>
        <w:t xml:space="preserve">2025 </w:t>
      </w:r>
      <w:r>
        <w:rPr>
          <w:b/>
          <w:bCs/>
        </w:rPr>
        <w:t>NOVEM</w:t>
      </w:r>
      <w:r w:rsidRPr="00053C97">
        <w:rPr>
          <w:b/>
          <w:bCs/>
        </w:rPr>
        <w:t>BERÉ</w:t>
      </w:r>
      <w:r w:rsidR="00017C4E">
        <w:rPr>
          <w:b/>
          <w:bCs/>
        </w:rPr>
        <w:t>BEN</w:t>
      </w:r>
      <w:r>
        <w:t xml:space="preserve"> </w:t>
      </w:r>
    </w:p>
    <w:p w14:paraId="3288AF14" w14:textId="50864ED9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40B155DA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TARTALOMJEGYZÉK</w:t>
      </w:r>
    </w:p>
    <w:p w14:paraId="6E375FE3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ADÓK MÓDOSÍTÁSA</w:t>
      </w:r>
    </w:p>
    <w:p w14:paraId="5D66838B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ENERGIA</w:t>
      </w:r>
    </w:p>
    <w:p w14:paraId="40D163E8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HÍRKÖZLÉS</w:t>
      </w:r>
    </w:p>
    <w:p w14:paraId="3BF29126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IGAZSÁGÜGYI RENDELETEK MÓDOSÍTÁSA</w:t>
      </w:r>
    </w:p>
    <w:p w14:paraId="63B73EC9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KÖZLEKEDÉS</w:t>
      </w:r>
    </w:p>
    <w:p w14:paraId="07F09903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MŰHÚS TILALMA</w:t>
      </w:r>
    </w:p>
    <w:p w14:paraId="342AC276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OTTHONTEREMTÉS</w:t>
      </w:r>
    </w:p>
    <w:p w14:paraId="6772EF73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RÁDIÓSPEKTRUM-GAZDÁLKODÁS</w:t>
      </w:r>
    </w:p>
    <w:p w14:paraId="3F58ECAA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SPORT</w:t>
      </w:r>
    </w:p>
    <w:p w14:paraId="517C0016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STRATÉGIAI JELENTŐSÉGŰ ÉPÍTÉSI ANYAGOK</w:t>
      </w:r>
    </w:p>
    <w:p w14:paraId="1D1C2D07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TÁMOGATÁS</w:t>
      </w:r>
    </w:p>
    <w:p w14:paraId="5CF821A2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TÁRSASHÁZAK</w:t>
      </w:r>
    </w:p>
    <w:p w14:paraId="362F379E" w14:textId="77777777" w:rsidR="004F294C" w:rsidRPr="005952A7" w:rsidRDefault="004F294C" w:rsidP="004F294C">
      <w:pPr>
        <w:numPr>
          <w:ilvl w:val="0"/>
          <w:numId w:val="1"/>
        </w:numPr>
        <w:jc w:val="both"/>
      </w:pPr>
      <w:r w:rsidRPr="005952A7">
        <w:rPr>
          <w:b/>
          <w:bCs/>
        </w:rPr>
        <w:t>VILLAMOS ENERGIA</w:t>
      </w:r>
    </w:p>
    <w:p w14:paraId="50F8A804" w14:textId="05E146CC" w:rsidR="004F294C" w:rsidRPr="005952A7" w:rsidRDefault="004F294C" w:rsidP="004F294C">
      <w:pPr>
        <w:jc w:val="both"/>
      </w:pPr>
      <w:r w:rsidRPr="005952A7">
        <w:rPr>
          <w:b/>
          <w:bCs/>
        </w:rPr>
        <w:t>  </w:t>
      </w:r>
    </w:p>
    <w:p w14:paraId="6E527E36" w14:textId="77777777" w:rsidR="004F294C" w:rsidRPr="005952A7" w:rsidRDefault="004F294C" w:rsidP="004F294C">
      <w:pPr>
        <w:numPr>
          <w:ilvl w:val="0"/>
          <w:numId w:val="2"/>
        </w:numPr>
        <w:jc w:val="both"/>
      </w:pPr>
      <w:r w:rsidRPr="005952A7">
        <w:rPr>
          <w:b/>
          <w:bCs/>
        </w:rPr>
        <w:t>ADÓK MÓDOSÍTÁSA </w:t>
      </w:r>
    </w:p>
    <w:p w14:paraId="6DC0D8DF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2025. évi LXXXIII. törvény egyes adótörvények adminisztrációt csökkentő és jogharmonizációs célú módosításáról</w:t>
      </w:r>
    </w:p>
    <w:p w14:paraId="1A4CDB93" w14:textId="77777777" w:rsidR="004F294C" w:rsidRPr="005952A7" w:rsidRDefault="004F294C" w:rsidP="004F294C">
      <w:pPr>
        <w:jc w:val="both"/>
      </w:pPr>
      <w:r w:rsidRPr="005952A7">
        <w:t>[1] Európa egyik legversenyképesebb adórendszerének fenntartása érdekében folytatódik az adócsökkentések és adminisztrációs egyszerűsítések elmúlt években megkezdett sorozata.</w:t>
      </w:r>
    </w:p>
    <w:p w14:paraId="119053EC" w14:textId="77777777" w:rsidR="004F294C" w:rsidRPr="005952A7" w:rsidRDefault="004F294C" w:rsidP="004F294C">
      <w:pPr>
        <w:jc w:val="both"/>
      </w:pPr>
      <w:r w:rsidRPr="005952A7">
        <w:t>[2] Az intézkedések egyaránt szolgálják a családok és a vállalkozások javát, a környezet védelmének ösztönzését, az egyszerűbb adózási módok könnyebb elérését és a jogalkalmazás segítését</w:t>
      </w:r>
    </w:p>
    <w:p w14:paraId="68F03D14" w14:textId="77777777" w:rsidR="004F294C" w:rsidRPr="005952A7" w:rsidRDefault="004F294C" w:rsidP="004F294C">
      <w:pPr>
        <w:jc w:val="both"/>
      </w:pPr>
      <w:r w:rsidRPr="005952A7">
        <w:t>Módosul:</w:t>
      </w:r>
    </w:p>
    <w:p w14:paraId="636418E2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személyi jövedelemadóról szóló 1995. évi CXVII. törvény</w:t>
      </w:r>
    </w:p>
    <w:p w14:paraId="121B702B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társasági adóról és az osztalékadóról szóló 1996. évi LXXXI. törvény</w:t>
      </w:r>
    </w:p>
    <w:p w14:paraId="41AAE1D6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lastRenderedPageBreak/>
        <w:t>A kisadózó vállalkozások tételes adójáról és a kisvállalati adóról szóló 2012. évi CXLVII. törvény</w:t>
      </w:r>
    </w:p>
    <w:p w14:paraId="53A69BC5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globális minimum-adószintet biztosító kiegészítő adókról és ezzel összefüggésben egyes adótörvények módosításáról szóló 2023. évi LXXXIV. törvény</w:t>
      </w:r>
    </w:p>
    <w:p w14:paraId="39B2A3EB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regisztrációs adóról szóló 2003. évi CX. törvény</w:t>
      </w:r>
    </w:p>
    <w:p w14:paraId="15472F90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Az általános forgalmi adóról szóló 2007. évi CXXVII. törvény</w:t>
      </w:r>
    </w:p>
    <w:p w14:paraId="66F85BD6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jövedéki adóról szóló 2016. évi LXVIII. törvény</w:t>
      </w:r>
    </w:p>
    <w:p w14:paraId="60E8073E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biztosítási adóról szóló 2012. évi CII. törvény</w:t>
      </w:r>
    </w:p>
    <w:p w14:paraId="406AC1F2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kiskereskedelmi adóról szóló 2020. évi XLV. törvény</w:t>
      </w:r>
    </w:p>
    <w:p w14:paraId="5A9F3462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helyi adókról szóló 1990. évi C. törvény</w:t>
      </w:r>
    </w:p>
    <w:p w14:paraId="28A97AC8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gépjárműadóról szóló 1991. évi LXXXII. törvény</w:t>
      </w:r>
    </w:p>
    <w:p w14:paraId="08D802B5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reklámadóról szóló 2014. évi XXII. törvény</w:t>
      </w:r>
    </w:p>
    <w:p w14:paraId="61EC8822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Az illetékekről szóló 1990. évi XCIII. törvény</w:t>
      </w:r>
    </w:p>
    <w:p w14:paraId="4A2F6AE6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szociális hozzájárulási adóról szóló 2018. évi LII. törvény</w:t>
      </w:r>
    </w:p>
    <w:p w14:paraId="1824DEA3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társadalombiztosítás ellátásaira jogosultakról, valamint ezen ellátások fedezetéről szóló 2019. évi CXXII. törvény</w:t>
      </w:r>
    </w:p>
    <w:p w14:paraId="597DC7F7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Az adózás rendjéről szóló 2017. évi CL. törvény</w:t>
      </w:r>
    </w:p>
    <w:p w14:paraId="496D23C6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Az adóigazgatási rendtartásról szóló 2017. évi CLI. törvény</w:t>
      </w:r>
    </w:p>
    <w:p w14:paraId="7B0242FC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Az adóhatóság által foganatosítandó végrehajtási eljárásokról szóló 2017. évi CLIII. törvény</w:t>
      </w:r>
    </w:p>
    <w:p w14:paraId="20D0B882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Az uniós vámjog végrehajtásáról szóló 2017. évi CLII. törvény</w:t>
      </w:r>
    </w:p>
    <w:p w14:paraId="0243098E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számvitelről szóló 2000. évi C. törvény</w:t>
      </w:r>
    </w:p>
    <w:p w14:paraId="60D23425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Magyar Könyvvizsgálói Kamaráról, a könyvvizsgálói tevékenységről, valamint a könyvvizsgálói közfelügyeletről szóló 2007. évi LXXV. törvény</w:t>
      </w:r>
    </w:p>
    <w:p w14:paraId="7B276C0C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kötelező egészségbiztosítás ellátásairól szóló 1997. évi LXXXIII. törvény</w:t>
      </w:r>
    </w:p>
    <w:p w14:paraId="3268FBD3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Nemzeti Adó- és Vámhivatalról szóló 2010. évi CXXII. törvény</w:t>
      </w:r>
    </w:p>
    <w:p w14:paraId="0091A40D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Az államháztartásról szóló 2011. évi CXCV. törvény</w:t>
      </w:r>
    </w:p>
    <w:p w14:paraId="6E4F2464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30 év alatti anyák kedvezményéről szóló 2025. évi XIII. törvény</w:t>
      </w:r>
    </w:p>
    <w:p w14:paraId="6D340DD5" w14:textId="77777777" w:rsidR="004F294C" w:rsidRPr="005952A7" w:rsidRDefault="004F294C" w:rsidP="004F294C">
      <w:pPr>
        <w:numPr>
          <w:ilvl w:val="0"/>
          <w:numId w:val="3"/>
        </w:numPr>
        <w:jc w:val="both"/>
      </w:pPr>
      <w:r w:rsidRPr="005952A7">
        <w:rPr>
          <w:b/>
          <w:bCs/>
        </w:rPr>
        <w:t>A két gyermeket nevelő anyák kedvezményéről szóló 2025. évi XIV. törvény</w:t>
      </w:r>
    </w:p>
    <w:p w14:paraId="0103935A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lastRenderedPageBreak/>
        <w:t> </w:t>
      </w:r>
    </w:p>
    <w:p w14:paraId="013897A0" w14:textId="77777777" w:rsidR="004F294C" w:rsidRPr="005952A7" w:rsidRDefault="004F294C" w:rsidP="004F294C">
      <w:pPr>
        <w:numPr>
          <w:ilvl w:val="0"/>
          <w:numId w:val="4"/>
        </w:numPr>
        <w:jc w:val="both"/>
      </w:pPr>
      <w:r w:rsidRPr="005952A7">
        <w:rPr>
          <w:b/>
          <w:bCs/>
        </w:rPr>
        <w:t>ENERGIA</w:t>
      </w:r>
    </w:p>
    <w:p w14:paraId="731D83E1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2025. évi LXXXI. törvény a föld alatti energiahordozó-tárolással, valamint a földgáz biztonsági készletezéssel összefüggő törvények módosításáról</w:t>
      </w:r>
    </w:p>
    <w:p w14:paraId="4E594143" w14:textId="77777777" w:rsidR="004F294C" w:rsidRPr="005952A7" w:rsidRDefault="004F294C" w:rsidP="004F294C">
      <w:pPr>
        <w:jc w:val="both"/>
      </w:pPr>
      <w:r w:rsidRPr="005952A7">
        <w:t>[1] A törvénymódosítás a földgáz esetében kiegészíti, hidrogén esetében megteremti a föld alatti tárolás alapvető szabályait, a bányafelügyelet engedélyezési hatáskörét.</w:t>
      </w:r>
    </w:p>
    <w:p w14:paraId="512995DC" w14:textId="77777777" w:rsidR="004F294C" w:rsidRPr="005952A7" w:rsidRDefault="004F294C" w:rsidP="004F294C">
      <w:pPr>
        <w:jc w:val="both"/>
      </w:pPr>
      <w:r w:rsidRPr="005952A7">
        <w:t>[2] A törvény a föld alatti hidrogéntárolás tekintetében a bányafelügyeletet jelöli ki engedélyező hatóságként.</w:t>
      </w:r>
    </w:p>
    <w:p w14:paraId="4366EFB0" w14:textId="77777777" w:rsidR="004F294C" w:rsidRPr="005952A7" w:rsidRDefault="004F294C" w:rsidP="004F294C">
      <w:pPr>
        <w:jc w:val="both"/>
      </w:pPr>
      <w:r w:rsidRPr="005952A7">
        <w:t>[3] A módosítás rendezi a Magyar Energetikai és Közmű-szabályozási Hivatal származási garanciát kiállító jogkörét.</w:t>
      </w:r>
    </w:p>
    <w:p w14:paraId="5F0619D0" w14:textId="77777777" w:rsidR="004F294C" w:rsidRPr="005952A7" w:rsidRDefault="004F294C" w:rsidP="004F294C">
      <w:pPr>
        <w:jc w:val="both"/>
      </w:pPr>
      <w:r w:rsidRPr="005952A7">
        <w:t>[4] A törvénymódosítás megszünteti a kőolaj, a kőolajtermék, továbbá az egyéb szénhidrogén-gáz szállítóvezetékek létesítésének és üzemben tartásának koncessziókötelességét.</w:t>
      </w:r>
    </w:p>
    <w:p w14:paraId="08192977" w14:textId="77777777" w:rsidR="004F294C" w:rsidRPr="005952A7" w:rsidRDefault="004F294C" w:rsidP="004F294C">
      <w:pPr>
        <w:jc w:val="both"/>
      </w:pPr>
      <w:r w:rsidRPr="005952A7">
        <w:t>[5] Az 50 MW és annál nagyobb teljesítményű földgáztüzelésű erőművek többletköltségeinek csökkentése, versenyhátrányuk mérséklése érdekében célszerű lehetővé tenni, hogy válsághelyzetben történő ellátásukat és folyamatos működésüket a földgáz biztonsági készlet részleges felhasználásával oldják meg.</w:t>
      </w:r>
    </w:p>
    <w:p w14:paraId="48587918" w14:textId="77777777" w:rsidR="004F294C" w:rsidRPr="005952A7" w:rsidRDefault="004F294C" w:rsidP="004F294C">
      <w:pPr>
        <w:jc w:val="both"/>
      </w:pPr>
      <w:r w:rsidRPr="005952A7">
        <w:t>Módosul:</w:t>
      </w:r>
    </w:p>
    <w:p w14:paraId="052A76C6" w14:textId="77777777" w:rsidR="004F294C" w:rsidRPr="005952A7" w:rsidRDefault="004F294C" w:rsidP="004F294C">
      <w:pPr>
        <w:numPr>
          <w:ilvl w:val="0"/>
          <w:numId w:val="5"/>
        </w:numPr>
        <w:jc w:val="both"/>
      </w:pPr>
      <w:r w:rsidRPr="005952A7">
        <w:rPr>
          <w:b/>
          <w:bCs/>
        </w:rPr>
        <w:t>A bányászatról szóló </w:t>
      </w:r>
      <w:hyperlink r:id="rId5" w:tgtFrame="_blank" w:history="1">
        <w:r w:rsidRPr="005952A7">
          <w:rPr>
            <w:rStyle w:val="Hiperhivatkozs"/>
            <w:b/>
            <w:bCs/>
          </w:rPr>
          <w:t>1993. évi XLVIII. törvény</w:t>
        </w:r>
      </w:hyperlink>
    </w:p>
    <w:p w14:paraId="491B305E" w14:textId="77777777" w:rsidR="004F294C" w:rsidRPr="005952A7" w:rsidRDefault="004F294C" w:rsidP="004F294C">
      <w:pPr>
        <w:numPr>
          <w:ilvl w:val="0"/>
          <w:numId w:val="5"/>
        </w:numPr>
        <w:jc w:val="both"/>
      </w:pPr>
      <w:r w:rsidRPr="005952A7">
        <w:rPr>
          <w:b/>
          <w:bCs/>
        </w:rPr>
        <w:t>A földgáz biztonsági készletezéséről szóló </w:t>
      </w:r>
      <w:hyperlink r:id="rId6" w:tgtFrame="_blank" w:history="1">
        <w:r w:rsidRPr="005952A7">
          <w:rPr>
            <w:rStyle w:val="Hiperhivatkozs"/>
            <w:b/>
            <w:bCs/>
          </w:rPr>
          <w:t>2006. évi XXVI. törvény</w:t>
        </w:r>
      </w:hyperlink>
    </w:p>
    <w:p w14:paraId="331B66F5" w14:textId="77777777" w:rsidR="004F294C" w:rsidRPr="005952A7" w:rsidRDefault="004F294C" w:rsidP="004F294C">
      <w:pPr>
        <w:numPr>
          <w:ilvl w:val="0"/>
          <w:numId w:val="5"/>
        </w:numPr>
        <w:jc w:val="both"/>
      </w:pPr>
      <w:r w:rsidRPr="005952A7">
        <w:rPr>
          <w:b/>
          <w:bCs/>
        </w:rPr>
        <w:t>A földgázellátásról szóló </w:t>
      </w:r>
      <w:hyperlink r:id="rId7" w:tgtFrame="_blank" w:history="1">
        <w:r w:rsidRPr="005952A7">
          <w:rPr>
            <w:rStyle w:val="Hiperhivatkozs"/>
            <w:b/>
            <w:bCs/>
          </w:rPr>
          <w:t>2008. évi XL. törvény</w:t>
        </w:r>
      </w:hyperlink>
    </w:p>
    <w:p w14:paraId="3D49928E" w14:textId="77777777" w:rsidR="004F294C" w:rsidRPr="005952A7" w:rsidRDefault="004F294C" w:rsidP="004F294C">
      <w:pPr>
        <w:numPr>
          <w:ilvl w:val="0"/>
          <w:numId w:val="5"/>
        </w:numPr>
        <w:jc w:val="both"/>
      </w:pPr>
      <w:r w:rsidRPr="005952A7">
        <w:rPr>
          <w:b/>
          <w:bCs/>
        </w:rPr>
        <w:t>A Szabályozott Tevékenységek Felügyeleti Hatóságáról szóló </w:t>
      </w:r>
      <w:hyperlink r:id="rId8" w:tgtFrame="_blank" w:history="1">
        <w:r w:rsidRPr="005952A7">
          <w:rPr>
            <w:rStyle w:val="Hiperhivatkozs"/>
            <w:b/>
            <w:bCs/>
          </w:rPr>
          <w:t>2021. évi XXXII. törvény</w:t>
        </w:r>
      </w:hyperlink>
    </w:p>
    <w:p w14:paraId="4A882B5A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64F3E666" w14:textId="77777777" w:rsidR="004F294C" w:rsidRPr="005952A7" w:rsidRDefault="004F294C" w:rsidP="004F294C">
      <w:pPr>
        <w:numPr>
          <w:ilvl w:val="0"/>
          <w:numId w:val="6"/>
        </w:numPr>
        <w:jc w:val="both"/>
      </w:pPr>
      <w:r w:rsidRPr="005952A7">
        <w:rPr>
          <w:b/>
          <w:bCs/>
        </w:rPr>
        <w:t>HÍRKÖZLÉS</w:t>
      </w:r>
    </w:p>
    <w:p w14:paraId="7BDAB490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2025. évi LXXXVII. törvény az elektronikus hírközlésről szóló </w:t>
      </w:r>
      <w:hyperlink r:id="rId9" w:tgtFrame="_blank" w:history="1">
        <w:r w:rsidRPr="005952A7">
          <w:rPr>
            <w:rStyle w:val="Hiperhivatkozs"/>
            <w:b/>
            <w:bCs/>
          </w:rPr>
          <w:t>2003. évi C. törvény</w:t>
        </w:r>
      </w:hyperlink>
      <w:r w:rsidRPr="005952A7">
        <w:rPr>
          <w:b/>
          <w:bCs/>
        </w:rPr>
        <w:t> módosításáról</w:t>
      </w:r>
    </w:p>
    <w:p w14:paraId="104DEC88" w14:textId="77777777" w:rsidR="004F294C" w:rsidRPr="005952A7" w:rsidRDefault="004F294C" w:rsidP="004F294C">
      <w:pPr>
        <w:jc w:val="both"/>
      </w:pPr>
      <w:r w:rsidRPr="005952A7">
        <w:t xml:space="preserve">[1] Alapvető cél, hogy a felhasználók magasabb színvonalú kiszolgálása érdekében egyszerűbbé, gyorsabbá és olcsóbbá váljon a rendkívül nagy kapacitású vezetékes és vezeték nélküli hálózatok kiépítése. Az új rendelkezések támogatják annak az uniós és nemzeti törekvésnek a valóra váltását, hogy 2030-ra valamennyi háztartás rendelkezésére álljon a gigabitképes internetkapcsolat. A gigabites infrastruktúráról szóló uniós rendelet célul tűzi a felhasználóbarát engedélyezési eljárások kialakítását és az eljárások </w:t>
      </w:r>
      <w:r w:rsidRPr="005952A7">
        <w:lastRenderedPageBreak/>
        <w:t>egyszerűsítését, az üzemeltetői költségek és az adminisztratív terhek mérséklését. E törvény a tagállami hatáskörbe utalt részletszabályokat tartalmazza, többek között kiegészítő mentességeket vezet be az engedélyezési eljárások alól.</w:t>
      </w:r>
    </w:p>
    <w:p w14:paraId="1877C665" w14:textId="77777777" w:rsidR="004F294C" w:rsidRPr="005952A7" w:rsidRDefault="004F294C" w:rsidP="004F294C">
      <w:pPr>
        <w:jc w:val="both"/>
      </w:pPr>
      <w:r w:rsidRPr="005952A7">
        <w:t>3.</w:t>
      </w:r>
      <w:r w:rsidRPr="005952A7">
        <w:rPr>
          <w:rFonts w:ascii="Arial" w:hAnsi="Arial" w:cs="Arial"/>
        </w:rPr>
        <w:t> </w:t>
      </w:r>
      <w:r w:rsidRPr="005952A7">
        <w:rPr>
          <w:rFonts w:ascii="Aptos" w:hAnsi="Aptos" w:cs="Aptos"/>
        </w:rPr>
        <w:t>§</w:t>
      </w:r>
      <w:r w:rsidRPr="005952A7">
        <w:t xml:space="preserve"> (1) Az</w:t>
      </w:r>
      <w:r w:rsidRPr="005952A7">
        <w:rPr>
          <w:rFonts w:ascii="Aptos" w:hAnsi="Aptos" w:cs="Aptos"/>
        </w:rPr>
        <w:t> </w:t>
      </w:r>
      <w:hyperlink r:id="rId10" w:tgtFrame="_blank" w:history="1">
        <w:r w:rsidRPr="005952A7">
          <w:rPr>
            <w:rStyle w:val="Hiperhivatkozs"/>
            <w:b/>
            <w:bCs/>
          </w:rPr>
          <w:t>Eht. 50/B. § (2) bekezdés 1. pont</w:t>
        </w:r>
      </w:hyperlink>
      <w:r w:rsidRPr="005952A7">
        <w:t>ja helyébe a következő rendelkezés lép:</w:t>
      </w:r>
    </w:p>
    <w:p w14:paraId="4602D1E1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összege]</w:t>
      </w:r>
    </w:p>
    <w:p w14:paraId="753A7FA0" w14:textId="77777777" w:rsidR="004F294C" w:rsidRPr="005952A7" w:rsidRDefault="004F294C" w:rsidP="004F294C">
      <w:pPr>
        <w:jc w:val="both"/>
      </w:pPr>
      <w:r w:rsidRPr="005952A7">
        <w:t>„1. építési műszaki ellenőr közreműködésének jogszabályban előírt kötelezettség megszegésével történő mellőzése esetén 10 000 Ft/100 méter vagy folyóméter, de legalább 500 000 Ft, legfeljebb 2 500 000 Ft;”</w:t>
      </w:r>
    </w:p>
    <w:p w14:paraId="603F03A0" w14:textId="77777777" w:rsidR="004F294C" w:rsidRPr="005952A7" w:rsidRDefault="004F294C" w:rsidP="004F294C">
      <w:pPr>
        <w:jc w:val="both"/>
      </w:pPr>
      <w:r w:rsidRPr="005952A7">
        <w:t>(2) Az </w:t>
      </w:r>
      <w:hyperlink r:id="rId11" w:tgtFrame="_blank" w:history="1">
        <w:r w:rsidRPr="005952A7">
          <w:rPr>
            <w:rStyle w:val="Hiperhivatkozs"/>
            <w:b/>
            <w:bCs/>
          </w:rPr>
          <w:t>Eht. 50/B. § (2) bekezdés 2. pont b) alpont</w:t>
        </w:r>
      </w:hyperlink>
      <w:r w:rsidRPr="005952A7">
        <w:t>ja helyébe a következő rendelkezés lép:</w:t>
      </w:r>
    </w:p>
    <w:p w14:paraId="6C7AFD8B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455DB754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nem megfelelő jogosultsággal rendelkező építési műszaki ellenőr foglalkoztatása esetén]</w:t>
      </w:r>
    </w:p>
    <w:p w14:paraId="374EF8D8" w14:textId="77777777" w:rsidR="004F294C" w:rsidRPr="005952A7" w:rsidRDefault="004F294C" w:rsidP="004F294C">
      <w:pPr>
        <w:jc w:val="both"/>
      </w:pPr>
      <w:r w:rsidRPr="005952A7">
        <w:t>„b) az építési műszaki ellenőrrel szemben 200 000 Ft;”</w:t>
      </w:r>
    </w:p>
    <w:p w14:paraId="6BAD3C73" w14:textId="77777777" w:rsidR="004F294C" w:rsidRPr="005952A7" w:rsidRDefault="004F294C" w:rsidP="004F294C">
      <w:pPr>
        <w:jc w:val="both"/>
      </w:pPr>
      <w:r w:rsidRPr="005952A7">
        <w:t>(3) Az </w:t>
      </w:r>
      <w:hyperlink r:id="rId12" w:tgtFrame="_blank" w:history="1">
        <w:r w:rsidRPr="005952A7">
          <w:rPr>
            <w:rStyle w:val="Hiperhivatkozs"/>
            <w:b/>
            <w:bCs/>
          </w:rPr>
          <w:t>Eht. 50/B. § (2) bekezdés 3. pont a)</w:t>
        </w:r>
      </w:hyperlink>
      <w:r w:rsidRPr="005952A7">
        <w:t> és </w:t>
      </w:r>
      <w:hyperlink r:id="rId13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6FF4FAA4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244050F4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nem megfelelő jogosultsággal rendelkező tervező foglalkoztatása és a foglalkoztatás elfogadása esetén, ha az építtető a foglalkoztató]</w:t>
      </w:r>
    </w:p>
    <w:p w14:paraId="526E5F5B" w14:textId="77777777" w:rsidR="004F294C" w:rsidRPr="005952A7" w:rsidRDefault="004F294C" w:rsidP="004F294C">
      <w:pPr>
        <w:jc w:val="both"/>
      </w:pPr>
      <w:r w:rsidRPr="005952A7">
        <w:t>„a) az építtetővel szemben 1 250 000 Ft, valamint</w:t>
      </w:r>
    </w:p>
    <w:p w14:paraId="6F4D012B" w14:textId="77777777" w:rsidR="004F294C" w:rsidRPr="005952A7" w:rsidRDefault="004F294C" w:rsidP="004F294C">
      <w:pPr>
        <w:numPr>
          <w:ilvl w:val="0"/>
          <w:numId w:val="7"/>
        </w:numPr>
        <w:jc w:val="both"/>
      </w:pPr>
      <w:r w:rsidRPr="005952A7">
        <w:t>b) a tervezővel szemben 200 000 Ft;”</w:t>
      </w:r>
    </w:p>
    <w:p w14:paraId="7832CA06" w14:textId="77777777" w:rsidR="004F294C" w:rsidRPr="005952A7" w:rsidRDefault="004F294C" w:rsidP="004F294C">
      <w:pPr>
        <w:jc w:val="both"/>
      </w:pPr>
      <w:r w:rsidRPr="005952A7">
        <w:t>(4) Az </w:t>
      </w:r>
      <w:hyperlink r:id="rId14" w:tgtFrame="_blank" w:history="1">
        <w:r w:rsidRPr="005952A7">
          <w:rPr>
            <w:rStyle w:val="Hiperhivatkozs"/>
            <w:b/>
            <w:bCs/>
          </w:rPr>
          <w:t>Eht. 50/B. § (2) bekezdés 4. pont a)</w:t>
        </w:r>
      </w:hyperlink>
      <w:r w:rsidRPr="005952A7">
        <w:t> és </w:t>
      </w:r>
      <w:hyperlink r:id="rId15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4F7D4EAD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15401E7D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nem megfelelő jogosultsággal rendelkező tervező foglalkoztatása és a foglalkoztatás elfogadása esetén, ha a kivitelező a foglalkoztató]</w:t>
      </w:r>
    </w:p>
    <w:p w14:paraId="57DE5A81" w14:textId="77777777" w:rsidR="004F294C" w:rsidRPr="005952A7" w:rsidRDefault="004F294C" w:rsidP="004F294C">
      <w:pPr>
        <w:jc w:val="both"/>
      </w:pPr>
      <w:r w:rsidRPr="005952A7">
        <w:t>„a) a kivitelezővel szemben 1 250 000 Ft, valamint</w:t>
      </w:r>
    </w:p>
    <w:p w14:paraId="0842F071" w14:textId="77777777" w:rsidR="004F294C" w:rsidRPr="005952A7" w:rsidRDefault="004F294C" w:rsidP="004F294C">
      <w:pPr>
        <w:numPr>
          <w:ilvl w:val="0"/>
          <w:numId w:val="8"/>
        </w:numPr>
        <w:jc w:val="both"/>
      </w:pPr>
      <w:r w:rsidRPr="005952A7">
        <w:t>b) a tervezővel szemben 200 000 Ft;”</w:t>
      </w:r>
    </w:p>
    <w:p w14:paraId="0B0ECFE8" w14:textId="77777777" w:rsidR="004F294C" w:rsidRPr="005952A7" w:rsidRDefault="004F294C" w:rsidP="004F294C">
      <w:pPr>
        <w:jc w:val="both"/>
      </w:pPr>
      <w:r w:rsidRPr="005952A7">
        <w:t>(5) Az </w:t>
      </w:r>
      <w:hyperlink r:id="rId16" w:tgtFrame="_blank" w:history="1">
        <w:r w:rsidRPr="005952A7">
          <w:rPr>
            <w:rStyle w:val="Hiperhivatkozs"/>
            <w:b/>
            <w:bCs/>
          </w:rPr>
          <w:t>Eht. 50/B. § (2) bekezdés 5. pont</w:t>
        </w:r>
      </w:hyperlink>
      <w:r w:rsidRPr="005952A7">
        <w:t>ja helyébe a következő rendelkezés lép:</w:t>
      </w:r>
    </w:p>
    <w:p w14:paraId="524ABB3E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összege]</w:t>
      </w:r>
    </w:p>
    <w:p w14:paraId="17FE09B3" w14:textId="77777777" w:rsidR="004F294C" w:rsidRPr="005952A7" w:rsidRDefault="004F294C" w:rsidP="004F294C">
      <w:pPr>
        <w:jc w:val="both"/>
      </w:pPr>
      <w:r w:rsidRPr="005952A7">
        <w:t>„5. tervezési vagy jogszabályban meghatározott kivitelezési dokumentáció nélküli kivitelezési tevékenység végzése esetén</w:t>
      </w:r>
    </w:p>
    <w:p w14:paraId="07C6D925" w14:textId="77777777" w:rsidR="004F294C" w:rsidRPr="005952A7" w:rsidRDefault="004F294C" w:rsidP="004F294C">
      <w:pPr>
        <w:numPr>
          <w:ilvl w:val="0"/>
          <w:numId w:val="9"/>
        </w:numPr>
        <w:jc w:val="both"/>
      </w:pPr>
      <w:r w:rsidRPr="005952A7">
        <w:lastRenderedPageBreak/>
        <w:t>az építtetővel szemben 10 000 Ft/100 méter vagy folyóméter, de legalább 200 000 Ft, legfeljebb</w:t>
      </w:r>
    </w:p>
    <w:p w14:paraId="72850DFF" w14:textId="77777777" w:rsidR="004F294C" w:rsidRPr="005952A7" w:rsidRDefault="004F294C" w:rsidP="004F294C">
      <w:pPr>
        <w:numPr>
          <w:ilvl w:val="0"/>
          <w:numId w:val="9"/>
        </w:numPr>
        <w:jc w:val="both"/>
      </w:pPr>
      <w:r w:rsidRPr="005952A7">
        <w:t>2 000 000 Ft,</w:t>
      </w:r>
    </w:p>
    <w:p w14:paraId="7576DA42" w14:textId="77777777" w:rsidR="004F294C" w:rsidRPr="005952A7" w:rsidRDefault="004F294C" w:rsidP="004F294C">
      <w:pPr>
        <w:numPr>
          <w:ilvl w:val="0"/>
          <w:numId w:val="9"/>
        </w:numPr>
        <w:jc w:val="both"/>
      </w:pPr>
      <w:r w:rsidRPr="005952A7">
        <w:t>b) a kivitelezővel szemben 20 000 Ft/100 méter vagy folyóméter, de legalább 200 000 Ft, legfeljebb</w:t>
      </w:r>
    </w:p>
    <w:p w14:paraId="6BA00219" w14:textId="77777777" w:rsidR="004F294C" w:rsidRPr="005952A7" w:rsidRDefault="004F294C" w:rsidP="004F294C">
      <w:pPr>
        <w:jc w:val="both"/>
      </w:pPr>
      <w:r w:rsidRPr="005952A7">
        <w:t>4 000 000 Ft, valamint</w:t>
      </w:r>
    </w:p>
    <w:p w14:paraId="747D571D" w14:textId="77777777" w:rsidR="004F294C" w:rsidRPr="005952A7" w:rsidRDefault="004F294C" w:rsidP="004F294C">
      <w:pPr>
        <w:numPr>
          <w:ilvl w:val="0"/>
          <w:numId w:val="10"/>
        </w:numPr>
        <w:jc w:val="both"/>
      </w:pPr>
      <w:r w:rsidRPr="005952A7">
        <w:t>c) a felelős műszaki vezetővel szemben 200 000 Ft;”</w:t>
      </w:r>
    </w:p>
    <w:p w14:paraId="0783F23E" w14:textId="77777777" w:rsidR="004F294C" w:rsidRPr="005952A7" w:rsidRDefault="004F294C" w:rsidP="004F294C">
      <w:pPr>
        <w:jc w:val="both"/>
      </w:pPr>
      <w:r w:rsidRPr="005952A7">
        <w:t>(6) Az </w:t>
      </w:r>
      <w:hyperlink r:id="rId17" w:tgtFrame="_blank" w:history="1">
        <w:r w:rsidRPr="005952A7">
          <w:rPr>
            <w:rStyle w:val="Hiperhivatkozs"/>
            <w:b/>
            <w:bCs/>
          </w:rPr>
          <w:t>Eht. 50/B. § (2) bekezdés 6. pont a)</w:t>
        </w:r>
      </w:hyperlink>
      <w:r w:rsidRPr="005952A7">
        <w:t> és </w:t>
      </w:r>
      <w:hyperlink r:id="rId18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6BF0EDFE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14E70F54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nem megfelelő jogosultsággal rendelkező kivitelezővel történő vállalkozási jogviszony létesítése esetén]</w:t>
      </w:r>
    </w:p>
    <w:p w14:paraId="7F43CC46" w14:textId="77777777" w:rsidR="004F294C" w:rsidRPr="005952A7" w:rsidRDefault="004F294C" w:rsidP="004F294C">
      <w:pPr>
        <w:jc w:val="both"/>
      </w:pPr>
      <w:r w:rsidRPr="005952A7">
        <w:t>„a) az építtetővel szemben 10 000 Ft/100 méter vagy folyóméter, de legalább 400 000 Ft, legfeljebb</w:t>
      </w:r>
    </w:p>
    <w:p w14:paraId="67009390" w14:textId="77777777" w:rsidR="004F294C" w:rsidRPr="005952A7" w:rsidRDefault="004F294C" w:rsidP="004F294C">
      <w:pPr>
        <w:jc w:val="both"/>
      </w:pPr>
      <w:r w:rsidRPr="005952A7">
        <w:t>1 000 000 Ft, valamint</w:t>
      </w:r>
    </w:p>
    <w:p w14:paraId="1C29D827" w14:textId="77777777" w:rsidR="004F294C" w:rsidRPr="005952A7" w:rsidRDefault="004F294C" w:rsidP="004F294C">
      <w:pPr>
        <w:numPr>
          <w:ilvl w:val="0"/>
          <w:numId w:val="11"/>
        </w:numPr>
        <w:jc w:val="both"/>
      </w:pPr>
      <w:r w:rsidRPr="005952A7">
        <w:t>b) a kivitelezővel szemben 20 000 Ft/100 méter vagy folyóméter, de legalább 600 000 Ft, legfeljebb</w:t>
      </w:r>
    </w:p>
    <w:p w14:paraId="0C5605AC" w14:textId="77777777" w:rsidR="004F294C" w:rsidRPr="005952A7" w:rsidRDefault="004F294C" w:rsidP="004F294C">
      <w:pPr>
        <w:jc w:val="both"/>
      </w:pPr>
      <w:r w:rsidRPr="005952A7">
        <w:t>3 000 000 Ft;”</w:t>
      </w:r>
    </w:p>
    <w:p w14:paraId="5B243F1F" w14:textId="77777777" w:rsidR="004F294C" w:rsidRPr="005952A7" w:rsidRDefault="004F294C" w:rsidP="004F294C">
      <w:pPr>
        <w:jc w:val="both"/>
      </w:pPr>
      <w:r w:rsidRPr="005952A7">
        <w:t>(7) Az </w:t>
      </w:r>
      <w:hyperlink r:id="rId19" w:tgtFrame="_blank" w:history="1">
        <w:r w:rsidRPr="005952A7">
          <w:rPr>
            <w:rStyle w:val="Hiperhivatkozs"/>
            <w:b/>
            <w:bCs/>
          </w:rPr>
          <w:t>Eht. 50/B. § (2) bekezdés 7. pont a)</w:t>
        </w:r>
      </w:hyperlink>
      <w:r w:rsidRPr="005952A7">
        <w:t> és </w:t>
      </w:r>
      <w:hyperlink r:id="rId20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1896657A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5CBFAB4C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felelős műszaki vezető közreműködésének jogszabályban előírt kötelezettség megszegésével történő mellőzésével végzett kivitelezési tevékenység esetén]</w:t>
      </w:r>
    </w:p>
    <w:p w14:paraId="401B625E" w14:textId="77777777" w:rsidR="004F294C" w:rsidRPr="005952A7" w:rsidRDefault="004F294C" w:rsidP="004F294C">
      <w:pPr>
        <w:jc w:val="both"/>
      </w:pPr>
      <w:r w:rsidRPr="005952A7">
        <w:t>„a) az építési műszaki ellenőrrel szemben 350 000 Ft, valamint</w:t>
      </w:r>
    </w:p>
    <w:p w14:paraId="75998F3B" w14:textId="77777777" w:rsidR="004F294C" w:rsidRPr="005952A7" w:rsidRDefault="004F294C" w:rsidP="004F294C">
      <w:pPr>
        <w:numPr>
          <w:ilvl w:val="0"/>
          <w:numId w:val="12"/>
        </w:numPr>
        <w:jc w:val="both"/>
      </w:pPr>
      <w:r w:rsidRPr="005952A7">
        <w:t>b) a kivitelezővel szemben 20 000 Ft/100 méter vagy folyóméter, de legalább 600 000 Ft, legfeljebb</w:t>
      </w:r>
    </w:p>
    <w:p w14:paraId="1F18B788" w14:textId="77777777" w:rsidR="004F294C" w:rsidRPr="005952A7" w:rsidRDefault="004F294C" w:rsidP="004F294C">
      <w:pPr>
        <w:jc w:val="both"/>
      </w:pPr>
      <w:r w:rsidRPr="005952A7">
        <w:t>3 000 000 Ft;”</w:t>
      </w:r>
    </w:p>
    <w:p w14:paraId="1245A1DE" w14:textId="77777777" w:rsidR="004F294C" w:rsidRPr="005952A7" w:rsidRDefault="004F294C" w:rsidP="004F294C">
      <w:pPr>
        <w:jc w:val="both"/>
      </w:pPr>
      <w:r w:rsidRPr="005952A7">
        <w:t>(8) Az </w:t>
      </w:r>
      <w:hyperlink r:id="rId21" w:tgtFrame="_blank" w:history="1">
        <w:r w:rsidRPr="005952A7">
          <w:rPr>
            <w:rStyle w:val="Hiperhivatkozs"/>
            <w:b/>
            <w:bCs/>
          </w:rPr>
          <w:t>Eht. 50/B. § (2) bekezdés 8. pont a)</w:t>
        </w:r>
      </w:hyperlink>
      <w:r w:rsidRPr="005952A7">
        <w:t> és </w:t>
      </w:r>
      <w:hyperlink r:id="rId22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145F83BD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2F4DA514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lastRenderedPageBreak/>
        <w:t>nem megfelelő jogosultsággal rendelkező felelős műszaki vezető foglalkoztatása és a foglalkoztatás elfogadása esetén]</w:t>
      </w:r>
    </w:p>
    <w:p w14:paraId="50C2CBAD" w14:textId="77777777" w:rsidR="004F294C" w:rsidRPr="005952A7" w:rsidRDefault="004F294C" w:rsidP="004F294C">
      <w:pPr>
        <w:jc w:val="both"/>
      </w:pPr>
      <w:r w:rsidRPr="005952A7">
        <w:t>„a) a kivitelezővel szemben 20 000 Ft/100 méter vagy folyóméter, de legalább 600 000 Ft, legfeljebb</w:t>
      </w:r>
    </w:p>
    <w:p w14:paraId="5C0C9CC3" w14:textId="77777777" w:rsidR="004F294C" w:rsidRPr="005952A7" w:rsidRDefault="004F294C" w:rsidP="004F294C">
      <w:pPr>
        <w:jc w:val="both"/>
      </w:pPr>
      <w:r w:rsidRPr="005952A7">
        <w:t>3 000 000 Ft, valamint</w:t>
      </w:r>
    </w:p>
    <w:p w14:paraId="6AE6DAC6" w14:textId="77777777" w:rsidR="004F294C" w:rsidRPr="005952A7" w:rsidRDefault="004F294C" w:rsidP="004F294C">
      <w:pPr>
        <w:numPr>
          <w:ilvl w:val="0"/>
          <w:numId w:val="13"/>
        </w:numPr>
        <w:jc w:val="both"/>
      </w:pPr>
      <w:r w:rsidRPr="005952A7">
        <w:t>b) a felelős műszaki vezetővel szemben 350 000 Ft;”</w:t>
      </w:r>
    </w:p>
    <w:p w14:paraId="3563DA63" w14:textId="77777777" w:rsidR="004F294C" w:rsidRPr="005952A7" w:rsidRDefault="004F294C" w:rsidP="004F294C">
      <w:pPr>
        <w:jc w:val="both"/>
      </w:pPr>
      <w:r w:rsidRPr="005952A7">
        <w:t>(9) Az </w:t>
      </w:r>
      <w:hyperlink r:id="rId23" w:tgtFrame="_blank" w:history="1">
        <w:r w:rsidRPr="005952A7">
          <w:rPr>
            <w:rStyle w:val="Hiperhivatkozs"/>
            <w:b/>
            <w:bCs/>
          </w:rPr>
          <w:t>Eht. 50/B. § (2) bekezdés 9. pont a)–c) alpont</w:t>
        </w:r>
      </w:hyperlink>
      <w:r w:rsidRPr="005952A7">
        <w:t>ja helyébe a következő rendelkezések lépnek:</w:t>
      </w:r>
    </w:p>
    <w:p w14:paraId="52BDD690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57DD40E8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szakszerűtlen kivitelezés, így különösen a nem megfelelő teljesítményű építési termékek vagy szerkezetek felhasználása, beépítése esetén]</w:t>
      </w:r>
    </w:p>
    <w:p w14:paraId="5E0FE204" w14:textId="77777777" w:rsidR="004F294C" w:rsidRPr="005952A7" w:rsidRDefault="004F294C" w:rsidP="004F294C">
      <w:pPr>
        <w:jc w:val="both"/>
      </w:pPr>
      <w:r w:rsidRPr="005952A7">
        <w:t>„a) a kivitelezővel szemben 20 000 Ft/100 méter vagy folyóméter, de legalább 600 000 Ft, legfeljebb</w:t>
      </w:r>
    </w:p>
    <w:p w14:paraId="225E9636" w14:textId="77777777" w:rsidR="004F294C" w:rsidRPr="005952A7" w:rsidRDefault="004F294C" w:rsidP="004F294C">
      <w:pPr>
        <w:jc w:val="both"/>
      </w:pPr>
      <w:r w:rsidRPr="005952A7">
        <w:t>3 000 000 Ft,</w:t>
      </w:r>
    </w:p>
    <w:p w14:paraId="21B55888" w14:textId="77777777" w:rsidR="004F294C" w:rsidRPr="005952A7" w:rsidRDefault="004F294C" w:rsidP="004F294C">
      <w:pPr>
        <w:numPr>
          <w:ilvl w:val="0"/>
          <w:numId w:val="14"/>
        </w:numPr>
        <w:jc w:val="both"/>
      </w:pPr>
      <w:r w:rsidRPr="005952A7">
        <w:t>b) az építési műszaki ellenőrrel szemben 350 000 Ft, valamint</w:t>
      </w:r>
    </w:p>
    <w:p w14:paraId="451214C0" w14:textId="77777777" w:rsidR="004F294C" w:rsidRPr="005952A7" w:rsidRDefault="004F294C" w:rsidP="004F294C">
      <w:pPr>
        <w:numPr>
          <w:ilvl w:val="0"/>
          <w:numId w:val="14"/>
        </w:numPr>
        <w:jc w:val="both"/>
      </w:pPr>
      <w:r w:rsidRPr="005952A7">
        <w:t>c) a felelős műszaki vezetővel szemben 350 000 Ft;”</w:t>
      </w:r>
    </w:p>
    <w:p w14:paraId="61B2DE31" w14:textId="77777777" w:rsidR="004F294C" w:rsidRPr="005952A7" w:rsidRDefault="004F294C" w:rsidP="004F294C">
      <w:pPr>
        <w:jc w:val="both"/>
      </w:pPr>
      <w:r w:rsidRPr="005952A7">
        <w:t>(10) Az </w:t>
      </w:r>
      <w:hyperlink r:id="rId24" w:tgtFrame="_blank" w:history="1">
        <w:r w:rsidRPr="005952A7">
          <w:rPr>
            <w:rStyle w:val="Hiperhivatkozs"/>
            <w:b/>
            <w:bCs/>
          </w:rPr>
          <w:t>Eht. 50/B. § (2) bekezdés 10. pont a)–c) alpont</w:t>
        </w:r>
      </w:hyperlink>
      <w:r w:rsidRPr="005952A7">
        <w:t>ja helyébe a következő rendelkezések lépnek:</w:t>
      </w:r>
    </w:p>
    <w:p w14:paraId="2602F2D7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5A2AF14E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tervdokumentációtól eltérő kivitelezés esetén, kivéve, ha az eltérést olyan, a tervezés során előre nem látott körülmény teszi szükségessé, amely a már megkezdett építési munkálatok záradékkal ellátott tervdokumentáció szerinti folytatását akadályozza, és az eltérés nem érinti a szakhatóságok előírásait, az érintett ingatlan, építmény tulajdonosainak, kezelőinek a hozzájárulásában meghatározott feltételeit vagy a közreműködők építményeinek keresztezésére készített dokumentáció tartalmát, és új közreműködők, új ingatlanok bevonásával nem jár]</w:t>
      </w:r>
    </w:p>
    <w:p w14:paraId="3C7816F3" w14:textId="77777777" w:rsidR="004F294C" w:rsidRPr="005952A7" w:rsidRDefault="004F294C" w:rsidP="004F294C">
      <w:pPr>
        <w:jc w:val="both"/>
      </w:pPr>
      <w:r w:rsidRPr="005952A7">
        <w:t>„a) a kivitelezővel szemben 20 000 Ft/100 méter vagy folyóméter, de legalább 600 000 Ft, legfeljebb</w:t>
      </w:r>
    </w:p>
    <w:p w14:paraId="66154B68" w14:textId="77777777" w:rsidR="004F294C" w:rsidRPr="005952A7" w:rsidRDefault="004F294C" w:rsidP="004F294C">
      <w:pPr>
        <w:jc w:val="both"/>
      </w:pPr>
      <w:r w:rsidRPr="005952A7">
        <w:t>3 000 000 Ft,</w:t>
      </w:r>
    </w:p>
    <w:p w14:paraId="59FABA88" w14:textId="77777777" w:rsidR="004F294C" w:rsidRPr="005952A7" w:rsidRDefault="004F294C" w:rsidP="004F294C">
      <w:pPr>
        <w:numPr>
          <w:ilvl w:val="0"/>
          <w:numId w:val="15"/>
        </w:numPr>
        <w:jc w:val="both"/>
      </w:pPr>
      <w:r w:rsidRPr="005952A7">
        <w:t>b) az építési műszaki ellenőrrel szemben 350 000 Ft, valamint</w:t>
      </w:r>
    </w:p>
    <w:p w14:paraId="02D2E6E0" w14:textId="77777777" w:rsidR="004F294C" w:rsidRPr="005952A7" w:rsidRDefault="004F294C" w:rsidP="004F294C">
      <w:pPr>
        <w:numPr>
          <w:ilvl w:val="0"/>
          <w:numId w:val="15"/>
        </w:numPr>
        <w:jc w:val="both"/>
      </w:pPr>
      <w:r w:rsidRPr="005952A7">
        <w:t>c) a felelős műszaki vezetővel szemben 350 000 Ft;”</w:t>
      </w:r>
    </w:p>
    <w:p w14:paraId="6FEFCF54" w14:textId="77777777" w:rsidR="004F294C" w:rsidRPr="005952A7" w:rsidRDefault="004F294C" w:rsidP="004F294C">
      <w:pPr>
        <w:jc w:val="both"/>
      </w:pPr>
      <w:r w:rsidRPr="005952A7">
        <w:lastRenderedPageBreak/>
        <w:t>(11) Az </w:t>
      </w:r>
      <w:hyperlink r:id="rId25" w:tgtFrame="_blank" w:history="1">
        <w:r w:rsidRPr="005952A7">
          <w:rPr>
            <w:rStyle w:val="Hiperhivatkozs"/>
            <w:b/>
            <w:bCs/>
          </w:rPr>
          <w:t>Eht. 50/B. § (2) bekezdés 11. pont a)</w:t>
        </w:r>
      </w:hyperlink>
      <w:r w:rsidRPr="005952A7">
        <w:t> és </w:t>
      </w:r>
      <w:hyperlink r:id="rId26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5DF1ACF2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1B84B22F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az építési főnapló készenlétbe helyezésének vagy megnyitásának a hiánya esetén]</w:t>
      </w:r>
    </w:p>
    <w:p w14:paraId="4CB468A0" w14:textId="77777777" w:rsidR="004F294C" w:rsidRPr="005952A7" w:rsidRDefault="004F294C" w:rsidP="004F294C">
      <w:pPr>
        <w:jc w:val="both"/>
      </w:pPr>
      <w:r w:rsidRPr="005952A7">
        <w:t>„a) az építtetővel szemben 1 000 000 Ft, valamint</w:t>
      </w:r>
    </w:p>
    <w:p w14:paraId="401E9AC4" w14:textId="77777777" w:rsidR="004F294C" w:rsidRPr="005952A7" w:rsidRDefault="004F294C" w:rsidP="004F294C">
      <w:pPr>
        <w:numPr>
          <w:ilvl w:val="0"/>
          <w:numId w:val="16"/>
        </w:numPr>
        <w:jc w:val="both"/>
      </w:pPr>
      <w:r w:rsidRPr="005952A7">
        <w:t>b) a kivitelezővel szemben 1 000 000 Ft;”</w:t>
      </w:r>
    </w:p>
    <w:p w14:paraId="71242678" w14:textId="77777777" w:rsidR="004F294C" w:rsidRPr="005952A7" w:rsidRDefault="004F294C" w:rsidP="004F294C">
      <w:pPr>
        <w:jc w:val="both"/>
      </w:pPr>
      <w:r w:rsidRPr="005952A7">
        <w:t>(12) Az </w:t>
      </w:r>
      <w:hyperlink r:id="rId27" w:tgtFrame="_blank" w:history="1">
        <w:r w:rsidRPr="005952A7">
          <w:rPr>
            <w:rStyle w:val="Hiperhivatkozs"/>
            <w:b/>
            <w:bCs/>
          </w:rPr>
          <w:t>Eht. 50/B. § (2) bekezdés 12. pont a)–c) alpont</w:t>
        </w:r>
      </w:hyperlink>
      <w:r w:rsidRPr="005952A7">
        <w:t>ja helyébe a következő rendelkezések lépnek:</w:t>
      </w:r>
    </w:p>
    <w:p w14:paraId="12E4BE8F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6C6F3C41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az állékonyságot, az életet vagy egészséget veszélyeztető állapot előidézése esetén]</w:t>
      </w:r>
    </w:p>
    <w:p w14:paraId="02676E52" w14:textId="77777777" w:rsidR="004F294C" w:rsidRPr="005952A7" w:rsidRDefault="004F294C" w:rsidP="004F294C">
      <w:pPr>
        <w:jc w:val="both"/>
      </w:pPr>
      <w:r w:rsidRPr="005952A7">
        <w:t>„a) a kivitelezővel szemben 50 000 Ft/100 méter vagy folyóméter, de legalább 500 000 Ft, legfeljebb</w:t>
      </w:r>
    </w:p>
    <w:p w14:paraId="54FFF80F" w14:textId="77777777" w:rsidR="004F294C" w:rsidRPr="005952A7" w:rsidRDefault="004F294C" w:rsidP="004F294C">
      <w:pPr>
        <w:jc w:val="both"/>
      </w:pPr>
      <w:r w:rsidRPr="005952A7">
        <w:t>5 000 000 Ft,</w:t>
      </w:r>
    </w:p>
    <w:p w14:paraId="7ADC4119" w14:textId="77777777" w:rsidR="004F294C" w:rsidRPr="005952A7" w:rsidRDefault="004F294C" w:rsidP="004F294C">
      <w:pPr>
        <w:numPr>
          <w:ilvl w:val="0"/>
          <w:numId w:val="17"/>
        </w:numPr>
        <w:jc w:val="both"/>
      </w:pPr>
      <w:r w:rsidRPr="005952A7">
        <w:t>b) az építési műszaki ellenőrrel szemben 20 000 Ft/100 méter vagy folyóméter, de legalább 200 000 Ft, legfeljebb 800 000 Ft, valamint</w:t>
      </w:r>
    </w:p>
    <w:p w14:paraId="6EBA5144" w14:textId="77777777" w:rsidR="004F294C" w:rsidRPr="005952A7" w:rsidRDefault="004F294C" w:rsidP="004F294C">
      <w:pPr>
        <w:numPr>
          <w:ilvl w:val="0"/>
          <w:numId w:val="17"/>
        </w:numPr>
        <w:jc w:val="both"/>
      </w:pPr>
      <w:r w:rsidRPr="005952A7">
        <w:t>c) a felelős műszaki vezetővel szemben 30 000 Ft/100 méter vagy folyóméter, de legalább 400 000 Ft, legfeljebb 1 500 000 Ft;”</w:t>
      </w:r>
    </w:p>
    <w:p w14:paraId="7CCCA133" w14:textId="77777777" w:rsidR="004F294C" w:rsidRPr="005952A7" w:rsidRDefault="004F294C" w:rsidP="004F294C">
      <w:pPr>
        <w:jc w:val="both"/>
      </w:pPr>
      <w:r w:rsidRPr="005952A7">
        <w:t>(13) Az </w:t>
      </w:r>
      <w:hyperlink r:id="rId28" w:tgtFrame="_blank" w:history="1">
        <w:r w:rsidRPr="005952A7">
          <w:rPr>
            <w:rStyle w:val="Hiperhivatkozs"/>
            <w:b/>
            <w:bCs/>
          </w:rPr>
          <w:t>Eht. 50/B. § (2) bekezdés 13. pont a)</w:t>
        </w:r>
      </w:hyperlink>
      <w:r w:rsidRPr="005952A7">
        <w:t> és </w:t>
      </w:r>
      <w:hyperlink r:id="rId29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51511956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2F45E32B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írásbeli kivitelezési szerződés hiánya esetén]</w:t>
      </w:r>
    </w:p>
    <w:p w14:paraId="2728A3D1" w14:textId="77777777" w:rsidR="004F294C" w:rsidRPr="005952A7" w:rsidRDefault="004F294C" w:rsidP="004F294C">
      <w:pPr>
        <w:jc w:val="both"/>
      </w:pPr>
      <w:r w:rsidRPr="005952A7">
        <w:t>„a) az építtetővel szemben 500 000 Ft, valamint</w:t>
      </w:r>
    </w:p>
    <w:p w14:paraId="5D214F6F" w14:textId="77777777" w:rsidR="004F294C" w:rsidRPr="005952A7" w:rsidRDefault="004F294C" w:rsidP="004F294C">
      <w:pPr>
        <w:numPr>
          <w:ilvl w:val="0"/>
          <w:numId w:val="18"/>
        </w:numPr>
        <w:jc w:val="both"/>
      </w:pPr>
      <w:r w:rsidRPr="005952A7">
        <w:t>b) a kivitelezővel szemben 500 000 Ft;”</w:t>
      </w:r>
    </w:p>
    <w:p w14:paraId="61F12C3D" w14:textId="77777777" w:rsidR="004F294C" w:rsidRPr="005952A7" w:rsidRDefault="004F294C" w:rsidP="004F294C">
      <w:pPr>
        <w:jc w:val="both"/>
      </w:pPr>
      <w:r w:rsidRPr="005952A7">
        <w:t>(14) Az </w:t>
      </w:r>
      <w:hyperlink r:id="rId30" w:tgtFrame="_blank" w:history="1">
        <w:r w:rsidRPr="005952A7">
          <w:rPr>
            <w:rStyle w:val="Hiperhivatkozs"/>
            <w:b/>
            <w:bCs/>
          </w:rPr>
          <w:t>Eht. 50/B. § (2) bekezdés 14. pont a)</w:t>
        </w:r>
      </w:hyperlink>
      <w:r w:rsidRPr="005952A7">
        <w:t> és </w:t>
      </w:r>
      <w:hyperlink r:id="rId31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7C3B14F8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01A0751E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a tervdokumentáció készítésére vonatkozó írásbeli tervezési szerződés hiánya esetén]</w:t>
      </w:r>
    </w:p>
    <w:p w14:paraId="03B9BFAB" w14:textId="77777777" w:rsidR="004F294C" w:rsidRPr="005952A7" w:rsidRDefault="004F294C" w:rsidP="004F294C">
      <w:pPr>
        <w:jc w:val="both"/>
      </w:pPr>
      <w:r w:rsidRPr="005952A7">
        <w:t>„a) az építtetővel szemben 400 000 Ft, valamint</w:t>
      </w:r>
    </w:p>
    <w:p w14:paraId="07FAA658" w14:textId="77777777" w:rsidR="004F294C" w:rsidRPr="005952A7" w:rsidRDefault="004F294C" w:rsidP="004F294C">
      <w:pPr>
        <w:numPr>
          <w:ilvl w:val="0"/>
          <w:numId w:val="19"/>
        </w:numPr>
        <w:jc w:val="both"/>
      </w:pPr>
      <w:r w:rsidRPr="005952A7">
        <w:t>b) a tervezővel szemben 120 000 Ft;”</w:t>
      </w:r>
    </w:p>
    <w:p w14:paraId="35CC24D1" w14:textId="77777777" w:rsidR="004F294C" w:rsidRPr="005952A7" w:rsidRDefault="004F294C" w:rsidP="004F294C">
      <w:pPr>
        <w:jc w:val="both"/>
      </w:pPr>
      <w:r w:rsidRPr="005952A7">
        <w:t>(15) Az </w:t>
      </w:r>
      <w:hyperlink r:id="rId32" w:tgtFrame="_blank" w:history="1">
        <w:r w:rsidRPr="005952A7">
          <w:rPr>
            <w:rStyle w:val="Hiperhivatkozs"/>
            <w:b/>
            <w:bCs/>
          </w:rPr>
          <w:t>Eht. 50/B. § (2) bekezdés 15. pont a)–c) alpont</w:t>
        </w:r>
      </w:hyperlink>
      <w:r w:rsidRPr="005952A7">
        <w:t>ja helyébe a következő rendelkezések lépnek:</w:t>
      </w:r>
    </w:p>
    <w:p w14:paraId="73AD2BE3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lastRenderedPageBreak/>
        <w:t>[Az (1) bekezdés szerinti bírság összege</w:t>
      </w:r>
    </w:p>
    <w:p w14:paraId="55799E32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az építési napló vezetésére vonatkozó követelmények megsértése esetén]</w:t>
      </w:r>
    </w:p>
    <w:p w14:paraId="35B6D262" w14:textId="77777777" w:rsidR="004F294C" w:rsidRPr="005952A7" w:rsidRDefault="004F294C" w:rsidP="004F294C">
      <w:pPr>
        <w:jc w:val="both"/>
      </w:pPr>
      <w:r w:rsidRPr="005952A7">
        <w:t>„a) a kivitelezővel szemben 400 000 Ft,</w:t>
      </w:r>
    </w:p>
    <w:p w14:paraId="41B1DADC" w14:textId="77777777" w:rsidR="004F294C" w:rsidRPr="005952A7" w:rsidRDefault="004F294C" w:rsidP="004F294C">
      <w:pPr>
        <w:numPr>
          <w:ilvl w:val="0"/>
          <w:numId w:val="20"/>
        </w:numPr>
        <w:jc w:val="both"/>
      </w:pPr>
      <w:r w:rsidRPr="005952A7">
        <w:t>b) az építési műszaki ellenőrrel szemben 200 000 Ft, valamint</w:t>
      </w:r>
    </w:p>
    <w:p w14:paraId="5F25FAEB" w14:textId="77777777" w:rsidR="004F294C" w:rsidRPr="005952A7" w:rsidRDefault="004F294C" w:rsidP="004F294C">
      <w:pPr>
        <w:numPr>
          <w:ilvl w:val="0"/>
          <w:numId w:val="20"/>
        </w:numPr>
        <w:jc w:val="both"/>
      </w:pPr>
      <w:r w:rsidRPr="005952A7">
        <w:t>c) a felelős műszaki vezetővel szemben 200 000 Ft;”</w:t>
      </w:r>
    </w:p>
    <w:p w14:paraId="4F17F0C6" w14:textId="77777777" w:rsidR="004F294C" w:rsidRPr="005952A7" w:rsidRDefault="004F294C" w:rsidP="004F294C">
      <w:pPr>
        <w:jc w:val="both"/>
      </w:pPr>
      <w:r w:rsidRPr="005952A7">
        <w:t>(16) Az </w:t>
      </w:r>
      <w:hyperlink r:id="rId33" w:tgtFrame="_blank" w:history="1">
        <w:r w:rsidRPr="005952A7">
          <w:rPr>
            <w:rStyle w:val="Hiperhivatkozs"/>
            <w:b/>
            <w:bCs/>
          </w:rPr>
          <w:t>Eht. 50/B. § (2) bekezdés 16. pont a)</w:t>
        </w:r>
      </w:hyperlink>
      <w:r w:rsidRPr="005952A7">
        <w:t> és </w:t>
      </w:r>
      <w:hyperlink r:id="rId34" w:tgtFrame="_blank" w:history="1">
        <w:r w:rsidRPr="005952A7">
          <w:rPr>
            <w:rStyle w:val="Hiperhivatkozs"/>
            <w:b/>
            <w:bCs/>
          </w:rPr>
          <w:t>b) alpont</w:t>
        </w:r>
      </w:hyperlink>
      <w:r w:rsidRPr="005952A7">
        <w:t>ja helyébe a következő rendelkezések lépnek:</w:t>
      </w:r>
    </w:p>
    <w:p w14:paraId="647CA8E1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[Az (1) bekezdés szerinti bírság összege</w:t>
      </w:r>
    </w:p>
    <w:p w14:paraId="1D67AE7C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a tervdokumentáció készítésére vonatkozó írásbeli szerződés hiánya esetén, ha a szerződés megkötése a kivitelező feladata]</w:t>
      </w:r>
    </w:p>
    <w:p w14:paraId="2D9D905B" w14:textId="77777777" w:rsidR="004F294C" w:rsidRPr="005952A7" w:rsidRDefault="004F294C" w:rsidP="004F294C">
      <w:pPr>
        <w:jc w:val="both"/>
      </w:pPr>
      <w:r w:rsidRPr="005952A7">
        <w:t>„a) a kivitelezővel szemben 400 000 Ft, valamint</w:t>
      </w:r>
    </w:p>
    <w:p w14:paraId="10B7CD93" w14:textId="77777777" w:rsidR="004F294C" w:rsidRPr="005952A7" w:rsidRDefault="004F294C" w:rsidP="004F294C">
      <w:pPr>
        <w:numPr>
          <w:ilvl w:val="0"/>
          <w:numId w:val="21"/>
        </w:numPr>
        <w:jc w:val="both"/>
      </w:pPr>
      <w:r w:rsidRPr="005952A7">
        <w:t>b) a tervezővel szemben 120 000 Ft;”</w:t>
      </w:r>
    </w:p>
    <w:p w14:paraId="7656440F" w14:textId="77777777" w:rsidR="004F294C" w:rsidRPr="005952A7" w:rsidRDefault="004F294C" w:rsidP="004F294C">
      <w:pPr>
        <w:jc w:val="both"/>
      </w:pPr>
      <w:r w:rsidRPr="005952A7">
        <w:t>(17) Az </w:t>
      </w:r>
      <w:hyperlink r:id="rId35" w:tgtFrame="_blank" w:history="1">
        <w:r w:rsidRPr="005952A7">
          <w:rPr>
            <w:rStyle w:val="Hiperhivatkozs"/>
            <w:b/>
            <w:bCs/>
          </w:rPr>
          <w:t>Eht. 50/B. § (2) bekezdése a következő 17–21. pont</w:t>
        </w:r>
      </w:hyperlink>
      <w:r w:rsidRPr="005952A7">
        <w:t>tal egészül ki:</w:t>
      </w:r>
    </w:p>
    <w:p w14:paraId="667DF479" w14:textId="77777777" w:rsidR="004F294C" w:rsidRPr="005952A7" w:rsidRDefault="004F294C" w:rsidP="004F294C">
      <w:pPr>
        <w:jc w:val="both"/>
      </w:pPr>
      <w:r w:rsidRPr="005952A7">
        <w:t>[Az (1) bekezdés szerinti bírság összege]</w:t>
      </w:r>
    </w:p>
    <w:p w14:paraId="0918BE12" w14:textId="77777777" w:rsidR="004F294C" w:rsidRPr="005952A7" w:rsidRDefault="004F294C" w:rsidP="004F294C">
      <w:pPr>
        <w:jc w:val="both"/>
      </w:pPr>
      <w:r w:rsidRPr="005952A7">
        <w:t>„17. az elektronikus hírközlési építmény karbantartásának elmulasztása esetén az üzemeltetővel vagy a tulajdonossal szemben 400 000 Ft;</w:t>
      </w:r>
    </w:p>
    <w:p w14:paraId="15407289" w14:textId="77777777" w:rsidR="004F294C" w:rsidRPr="005952A7" w:rsidRDefault="004F294C" w:rsidP="004F294C">
      <w:pPr>
        <w:numPr>
          <w:ilvl w:val="0"/>
          <w:numId w:val="22"/>
        </w:numPr>
        <w:jc w:val="both"/>
      </w:pPr>
      <w:r w:rsidRPr="005952A7">
        <w:t>az elektronikus hírközlési építmény karbantartásának elmulasztása esetén, ha az az életet vagy egészséget veszélyeztető állapotot idéz elő, az üzemeltetővel vagy a tulajdonossal szemben 1 000 000 Ft;</w:t>
      </w:r>
    </w:p>
    <w:p w14:paraId="6476BBDF" w14:textId="77777777" w:rsidR="004F294C" w:rsidRPr="005952A7" w:rsidRDefault="004F294C" w:rsidP="004F294C">
      <w:pPr>
        <w:numPr>
          <w:ilvl w:val="0"/>
          <w:numId w:val="22"/>
        </w:numPr>
        <w:jc w:val="both"/>
      </w:pPr>
      <w:r w:rsidRPr="005952A7">
        <w:t>bontási kötelezettség határidőre történő elvégzésének elmulasztása esetén a bontásra kötelezettel szemben 20 000 Ft/100 méter vagy folyóméter, de legalább 400 000 Ft, legfeljebb 3 000 000 Ft;</w:t>
      </w:r>
    </w:p>
    <w:p w14:paraId="3A124C81" w14:textId="77777777" w:rsidR="004F294C" w:rsidRPr="005952A7" w:rsidRDefault="004F294C" w:rsidP="004F294C">
      <w:pPr>
        <w:numPr>
          <w:ilvl w:val="0"/>
          <w:numId w:val="22"/>
        </w:numPr>
        <w:jc w:val="both"/>
      </w:pPr>
      <w:r w:rsidRPr="005952A7">
        <w:t>jogosultság nélküli vagy nem megfelelő jogosultsággal rendelkező tervező vállalkozással történő tervezői jogviszony létesítése esetén, ha az építtető a szerződő,</w:t>
      </w:r>
    </w:p>
    <w:p w14:paraId="6B0DB951" w14:textId="77777777" w:rsidR="004F294C" w:rsidRPr="005952A7" w:rsidRDefault="004F294C" w:rsidP="004F294C">
      <w:pPr>
        <w:numPr>
          <w:ilvl w:val="0"/>
          <w:numId w:val="22"/>
        </w:numPr>
        <w:jc w:val="both"/>
      </w:pPr>
      <w:r w:rsidRPr="005952A7">
        <w:t>a) az építtetővel szemben 400 000 Ft, valamint</w:t>
      </w:r>
    </w:p>
    <w:p w14:paraId="088B4B12" w14:textId="77777777" w:rsidR="004F294C" w:rsidRPr="005952A7" w:rsidRDefault="004F294C" w:rsidP="004F294C">
      <w:pPr>
        <w:numPr>
          <w:ilvl w:val="0"/>
          <w:numId w:val="22"/>
        </w:numPr>
        <w:jc w:val="both"/>
      </w:pPr>
      <w:r w:rsidRPr="005952A7">
        <w:t>b) a tervező vállalkozással szemben 1 000 000 Ft;</w:t>
      </w:r>
    </w:p>
    <w:p w14:paraId="62CBA1B7" w14:textId="77777777" w:rsidR="004F294C" w:rsidRPr="005952A7" w:rsidRDefault="004F294C" w:rsidP="004F294C">
      <w:pPr>
        <w:numPr>
          <w:ilvl w:val="0"/>
          <w:numId w:val="22"/>
        </w:numPr>
        <w:jc w:val="both"/>
      </w:pPr>
      <w:r w:rsidRPr="005952A7">
        <w:t>jogosultság nélküli vagy nem megfelelő jogosultsággal rendelkező tervező vállalkozással történő tervezői jogviszony létesítése esetén, ha a kivitelező a szerződő,</w:t>
      </w:r>
    </w:p>
    <w:p w14:paraId="3907E1D1" w14:textId="77777777" w:rsidR="004F294C" w:rsidRPr="005952A7" w:rsidRDefault="004F294C" w:rsidP="004F294C">
      <w:pPr>
        <w:numPr>
          <w:ilvl w:val="0"/>
          <w:numId w:val="22"/>
        </w:numPr>
        <w:jc w:val="both"/>
      </w:pPr>
      <w:r w:rsidRPr="005952A7">
        <w:t>a) a kivitelezővel szemben 400 000 Ft, valamint</w:t>
      </w:r>
    </w:p>
    <w:p w14:paraId="7E6EDDD2" w14:textId="77777777" w:rsidR="004F294C" w:rsidRPr="005952A7" w:rsidRDefault="004F294C" w:rsidP="004F294C">
      <w:pPr>
        <w:numPr>
          <w:ilvl w:val="0"/>
          <w:numId w:val="22"/>
        </w:numPr>
        <w:jc w:val="both"/>
      </w:pPr>
      <w:r w:rsidRPr="005952A7">
        <w:lastRenderedPageBreak/>
        <w:t>b) a tervező vállalkozással szemben 1 000 000 Ft.”</w:t>
      </w:r>
    </w:p>
    <w:p w14:paraId="7E40CBC1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16D59EBB" w14:textId="77777777" w:rsidR="004F294C" w:rsidRPr="005952A7" w:rsidRDefault="004F294C" w:rsidP="004F294C">
      <w:pPr>
        <w:numPr>
          <w:ilvl w:val="0"/>
          <w:numId w:val="23"/>
        </w:numPr>
        <w:jc w:val="both"/>
      </w:pPr>
      <w:r w:rsidRPr="005952A7">
        <w:rPr>
          <w:b/>
          <w:bCs/>
        </w:rPr>
        <w:t>IGAZSÁGÜGYI RENDELETEK MÓDOSÍTÁSA</w:t>
      </w:r>
    </w:p>
    <w:p w14:paraId="1C3729E7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14/2025. (XI. 13.) IM rendelet az igazságügyi tárgyú miniszteri rendeletek módosításáról</w:t>
      </w:r>
    </w:p>
    <w:p w14:paraId="0B4F3EB7" w14:textId="77777777" w:rsidR="004F294C" w:rsidRPr="005952A7" w:rsidRDefault="004F294C" w:rsidP="004F294C">
      <w:pPr>
        <w:jc w:val="both"/>
      </w:pPr>
      <w:r w:rsidRPr="005952A7">
        <w:t>[1] A közjegyzők és a Magyar Országos Közjegyzői Kamara jelzései alapján, a joggyakorlat tapasztalatainak hasznosítása érdekében a közjegyzői tevékenységet érintő rendeleti szabályozás felülvizsgálata vált szükségessé.</w:t>
      </w:r>
    </w:p>
    <w:p w14:paraId="7A25A401" w14:textId="77777777" w:rsidR="004F294C" w:rsidRPr="005952A7" w:rsidRDefault="004F294C" w:rsidP="004F294C">
      <w:pPr>
        <w:jc w:val="both"/>
      </w:pPr>
      <w:r w:rsidRPr="005952A7">
        <w:t>[2] A módosítások célja a szabályok pontosítása és kiegészítése, a jogrendszerben bekövetkezett változások követése, a szabályozás koherenciájának, valamint az eljárások hatékonyságának növelése.</w:t>
      </w:r>
    </w:p>
    <w:p w14:paraId="1111BD0B" w14:textId="77777777" w:rsidR="004F294C" w:rsidRPr="005952A7" w:rsidRDefault="004F294C" w:rsidP="004F294C">
      <w:pPr>
        <w:jc w:val="both"/>
      </w:pPr>
      <w:r w:rsidRPr="005952A7">
        <w:t>[3] A felesleges adminisztrációs teher csökkentése és az érdemi munkavégzésre fordítható idő növelése érdekében indokolt olyan munkafolyamatok kialakítása, amely alapján a Magyar Országos Közjegyzői Kamara feladatellátása egyszerűbbé és hatékonyabbá válik.</w:t>
      </w:r>
    </w:p>
    <w:p w14:paraId="708DFA14" w14:textId="77777777" w:rsidR="004F294C" w:rsidRPr="005952A7" w:rsidRDefault="004F294C" w:rsidP="004F294C">
      <w:pPr>
        <w:jc w:val="both"/>
      </w:pPr>
      <w:r w:rsidRPr="005952A7">
        <w:t>[4] Az üzleti környezet átláthatóságának és jogbiztonságának erősítése, valamint a cégeljárások egyszerűsítése érdekében elengedhetetlen a céginformáció-szolgáltatás működésének korszerűsítése, az ügyfélszolgálati feladatok átszervezése.</w:t>
      </w:r>
    </w:p>
    <w:p w14:paraId="11BFBC1E" w14:textId="77777777" w:rsidR="004F294C" w:rsidRPr="005952A7" w:rsidRDefault="004F294C" w:rsidP="004F294C">
      <w:pPr>
        <w:jc w:val="both"/>
      </w:pPr>
      <w:r w:rsidRPr="005952A7">
        <w:t>Módosul:</w:t>
      </w:r>
    </w:p>
    <w:p w14:paraId="03A07F47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1</w:t>
      </w:r>
      <w:r w:rsidRPr="005952A7">
        <w:rPr>
          <w:b/>
          <w:bCs/>
        </w:rPr>
        <w:t>. A közjegyzőkről szóló</w:t>
      </w:r>
      <w:r w:rsidRPr="005952A7">
        <w:t> </w:t>
      </w:r>
      <w:hyperlink r:id="rId36" w:tgtFrame="_blank" w:history="1">
        <w:r w:rsidRPr="005952A7">
          <w:rPr>
            <w:rStyle w:val="Hiperhivatkozs"/>
            <w:b/>
            <w:bCs/>
          </w:rPr>
          <w:t>évi XLI. törvény</w:t>
        </w:r>
      </w:hyperlink>
      <w:r w:rsidRPr="005952A7">
        <w:t> végrehajtásáról szóló </w:t>
      </w:r>
      <w:hyperlink r:id="rId37" w:tgtFrame="_blank" w:history="1">
        <w:r w:rsidRPr="005952A7">
          <w:rPr>
            <w:rStyle w:val="Hiperhivatkozs"/>
            <w:b/>
            <w:bCs/>
          </w:rPr>
          <w:t>13/1991. (XI. 26.) IM rendelet</w:t>
        </w:r>
      </w:hyperlink>
    </w:p>
    <w:p w14:paraId="3F3F78FF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A Céginformációs és az Elektronikus Cégeljárásban Közreműködő Szolgálat működéséről, valamint a céginformáció költségtérítéséről szóló </w:t>
      </w:r>
      <w:hyperlink r:id="rId38" w:tgtFrame="_blank" w:history="1">
        <w:r w:rsidRPr="005952A7">
          <w:rPr>
            <w:rStyle w:val="Hiperhivatkozs"/>
            <w:b/>
            <w:bCs/>
          </w:rPr>
          <w:t>1/2006. (VI. 26.) IRM rendelet</w:t>
        </w:r>
      </w:hyperlink>
    </w:p>
    <w:p w14:paraId="01119CF1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Az illeték és a közzétételi költségtérítés elektronikus úton történő megfizetéséről a cégeljárásban és más cégügyekben szóló </w:t>
      </w:r>
      <w:hyperlink r:id="rId39" w:tgtFrame="_blank" w:history="1">
        <w:r w:rsidRPr="005952A7">
          <w:rPr>
            <w:rStyle w:val="Hiperhivatkozs"/>
            <w:b/>
            <w:bCs/>
          </w:rPr>
          <w:t>25/2006. (V. 18.) IM rendelet</w:t>
        </w:r>
      </w:hyperlink>
    </w:p>
    <w:p w14:paraId="1BBE75E9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A Közjegyzői Levéltár tevékenységével összefüggő szakmai követelményekről szóló </w:t>
      </w:r>
      <w:hyperlink r:id="rId40" w:tgtFrame="_blank" w:history="1">
        <w:r w:rsidRPr="005952A7">
          <w:rPr>
            <w:rStyle w:val="Hiperhivatkozs"/>
            <w:b/>
            <w:bCs/>
          </w:rPr>
          <w:t>62/2009. (XII. 17.) IRM rendelet</w:t>
        </w:r>
      </w:hyperlink>
    </w:p>
    <w:p w14:paraId="74BE3380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A fizetési meghagyásos eljárás lefolytatásának támogatására szolgáló informatikai rendszer informatikai biztonsági követelményeiről szóló </w:t>
      </w:r>
      <w:hyperlink r:id="rId41" w:tgtFrame="_blank" w:history="1">
        <w:r w:rsidRPr="005952A7">
          <w:rPr>
            <w:rStyle w:val="Hiperhivatkozs"/>
            <w:b/>
            <w:bCs/>
          </w:rPr>
          <w:t>21/2010. (V. 6.) IRM–MeHVM együttes rendelet</w:t>
        </w:r>
      </w:hyperlink>
    </w:p>
    <w:p w14:paraId="3FCAA242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A hagyatéki eljárás egyes cselekményeiről szóló </w:t>
      </w:r>
      <w:hyperlink r:id="rId42" w:tgtFrame="_blank" w:history="1">
        <w:r w:rsidRPr="005952A7">
          <w:rPr>
            <w:rStyle w:val="Hiperhivatkozs"/>
            <w:b/>
            <w:bCs/>
          </w:rPr>
          <w:t>29/2010. (XII. 31.) KIM rendelet</w:t>
        </w:r>
      </w:hyperlink>
      <w:r w:rsidRPr="005952A7">
        <w:t> módosítása</w:t>
      </w:r>
    </w:p>
    <w:p w14:paraId="5BBF9DA9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lastRenderedPageBreak/>
        <w:t>A pártfogó ügyvéd, az ügygondnok és a kirendelt védő részére megállapítható díjról szóló </w:t>
      </w:r>
      <w:hyperlink r:id="rId43" w:tgtFrame="_blank" w:history="1">
        <w:r w:rsidRPr="005952A7">
          <w:rPr>
            <w:rStyle w:val="Hiperhivatkozs"/>
            <w:b/>
            <w:bCs/>
          </w:rPr>
          <w:t>32/2017. (XII. 27.) IM rendelet</w:t>
        </w:r>
      </w:hyperlink>
    </w:p>
    <w:p w14:paraId="61103482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A közjegyzői ügyvitel szabályairól szóló </w:t>
      </w:r>
      <w:hyperlink r:id="rId44" w:tgtFrame="_blank" w:history="1">
        <w:r w:rsidRPr="005952A7">
          <w:rPr>
            <w:rStyle w:val="Hiperhivatkozs"/>
            <w:b/>
            <w:bCs/>
          </w:rPr>
          <w:t>29/2019. (XII. 20.) IM rendelet</w:t>
        </w:r>
      </w:hyperlink>
    </w:p>
    <w:p w14:paraId="45BB5071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A pártfogó felügyelői, jogi segítségnyújtó és áldozatsegítő szolgálatként, valamint kárpótlási hatóságként kijelölt szervnél működő pártfogó felügyelők és kormánytisztviselők ügyviteli vizsgájáról szóló </w:t>
      </w:r>
      <w:hyperlink r:id="rId45" w:tgtFrame="_blank" w:history="1">
        <w:r w:rsidRPr="005952A7">
          <w:rPr>
            <w:rStyle w:val="Hiperhivatkozs"/>
            <w:b/>
            <w:bCs/>
          </w:rPr>
          <w:t>9/2023. (VII. 20.) IM rendelet</w:t>
        </w:r>
      </w:hyperlink>
    </w:p>
    <w:p w14:paraId="3E09EA80" w14:textId="77777777" w:rsidR="004F294C" w:rsidRPr="005952A7" w:rsidRDefault="004F294C" w:rsidP="004F294C">
      <w:pPr>
        <w:numPr>
          <w:ilvl w:val="0"/>
          <w:numId w:val="24"/>
        </w:numPr>
        <w:jc w:val="both"/>
      </w:pPr>
      <w:r w:rsidRPr="005952A7">
        <w:t>A bírósági eljárásban megállapítható ügyvédi és kamarai jogtanácsosi költségről szóló </w:t>
      </w:r>
      <w:hyperlink r:id="rId46" w:tgtFrame="_blank" w:history="1">
        <w:r w:rsidRPr="005952A7">
          <w:rPr>
            <w:rStyle w:val="Hiperhivatkozs"/>
            <w:b/>
            <w:bCs/>
          </w:rPr>
          <w:t>17/2024. (XII. 9.) IM rendelet</w:t>
        </w:r>
      </w:hyperlink>
    </w:p>
    <w:p w14:paraId="1D75F61C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516F6032" w14:textId="77777777" w:rsidR="004F294C" w:rsidRPr="005952A7" w:rsidRDefault="004F294C" w:rsidP="004F294C">
      <w:pPr>
        <w:numPr>
          <w:ilvl w:val="0"/>
          <w:numId w:val="25"/>
        </w:numPr>
        <w:jc w:val="both"/>
      </w:pPr>
      <w:r w:rsidRPr="005952A7">
        <w:rPr>
          <w:b/>
          <w:bCs/>
        </w:rPr>
        <w:t>KÖZLEKEDÉS</w:t>
      </w:r>
    </w:p>
    <w:p w14:paraId="38CA37B4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34/2025. (XI. 30.) ÉKM rendelet </w:t>
      </w:r>
      <w:r w:rsidRPr="005952A7">
        <w:t>az útdíj mértékéről és az útdíjköteles utakról szóló </w:t>
      </w:r>
      <w:hyperlink r:id="rId47" w:tgtFrame="_blank" w:history="1">
        <w:r w:rsidRPr="005952A7">
          <w:rPr>
            <w:rStyle w:val="Hiperhivatkozs"/>
            <w:b/>
            <w:bCs/>
          </w:rPr>
          <w:t>25/2013. (V. 31.) NFM rendelet</w:t>
        </w:r>
      </w:hyperlink>
      <w:r w:rsidRPr="005952A7">
        <w:t>, valamint a használati díj megfizetése ellenében használható autópályákról, autóutakról, főutakról és azok díjáról szóló </w:t>
      </w:r>
      <w:hyperlink r:id="rId48" w:tgtFrame="_blank" w:history="1">
        <w:r w:rsidRPr="005952A7">
          <w:rPr>
            <w:rStyle w:val="Hiperhivatkozs"/>
            <w:b/>
            <w:bCs/>
          </w:rPr>
          <w:t>45/2020. (XI. 28.) ITM rendelet</w:t>
        </w:r>
      </w:hyperlink>
      <w:r w:rsidRPr="005952A7">
        <w:t> módosításáról</w:t>
      </w:r>
    </w:p>
    <w:p w14:paraId="40C7D08D" w14:textId="77777777" w:rsidR="004F294C" w:rsidRPr="005952A7" w:rsidRDefault="004F294C" w:rsidP="004F294C">
      <w:pPr>
        <w:jc w:val="both"/>
      </w:pPr>
      <w:r w:rsidRPr="005952A7">
        <w:t>[1] Az útdíj mértékéről és az útdíjköteles utakról szóló </w:t>
      </w:r>
      <w:hyperlink r:id="rId49" w:tgtFrame="_blank" w:history="1">
        <w:r w:rsidRPr="005952A7">
          <w:rPr>
            <w:rStyle w:val="Hiperhivatkozs"/>
            <w:b/>
            <w:bCs/>
          </w:rPr>
          <w:t>25/2013. (V. 31.) NFM rendelet</w:t>
        </w:r>
      </w:hyperlink>
      <w:r w:rsidRPr="005952A7">
        <w:t>ben felülvizsgálatra kerül az útdíj elemét képező infrastruktúradíj alapmértéke, továbbá bővül az útdíjköteles közúthálózat.</w:t>
      </w:r>
    </w:p>
    <w:p w14:paraId="4C989B19" w14:textId="77777777" w:rsidR="004F294C" w:rsidRPr="005952A7" w:rsidRDefault="004F294C" w:rsidP="004F294C">
      <w:pPr>
        <w:jc w:val="both"/>
      </w:pPr>
      <w:r w:rsidRPr="005952A7">
        <w:t>[2] A használatidíj-rendszerben a díjmentességre jogosultak köre kibővül a szomszédos országok közútkezelői által üzemben tartott gépjárművekkel, bevezetésre kerül a 2026. évre érvényes, az M1 autópálya által érintett négy vármegyére érvényes regionális jogosultság, az egységes jogértelmezés és jogalkalmazás érdekében pontosításra kerülnek a többszörösen megváltott jogosultságok visszaváltásának feltételeire vonatkozó rendelkezések, továbbá közúthálózat fejlesztése nyomán bővül a használatidíj-köteles közúthálózat.</w:t>
      </w:r>
    </w:p>
    <w:p w14:paraId="1582DAD0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58111109" w14:textId="77777777" w:rsidR="004F294C" w:rsidRPr="005952A7" w:rsidRDefault="004F294C" w:rsidP="004F294C">
      <w:pPr>
        <w:numPr>
          <w:ilvl w:val="0"/>
          <w:numId w:val="26"/>
        </w:numPr>
        <w:jc w:val="both"/>
      </w:pPr>
      <w:r w:rsidRPr="005952A7">
        <w:rPr>
          <w:b/>
          <w:bCs/>
        </w:rPr>
        <w:t>MŰHÚS TILALMA</w:t>
      </w:r>
    </w:p>
    <w:p w14:paraId="21C77E4F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2025. évi LXXXIX. törvény a műhús előállításának és forgalomba hozatalának tilalmáról</w:t>
      </w:r>
    </w:p>
    <w:p w14:paraId="7D454FB9" w14:textId="77777777" w:rsidR="004F294C" w:rsidRPr="005952A7" w:rsidRDefault="004F294C" w:rsidP="004F294C">
      <w:pPr>
        <w:jc w:val="both"/>
      </w:pPr>
      <w:r w:rsidRPr="005952A7">
        <w:t>[1] Vitathatatlan, hogy a hagyományos élelmiszertermelés az agrárium és a vidéki életkörülmények egészére kedvező hatást gyakorol.</w:t>
      </w:r>
    </w:p>
    <w:p w14:paraId="671060CB" w14:textId="77777777" w:rsidR="004F294C" w:rsidRPr="005952A7" w:rsidRDefault="004F294C" w:rsidP="004F294C">
      <w:pPr>
        <w:jc w:val="both"/>
      </w:pPr>
      <w:r w:rsidRPr="005952A7">
        <w:t>[2] Fontos, hogy étkezésünk alapját a jó minőségű és természetes alapanyagokból előállított élelmiszerek jelentsék.</w:t>
      </w:r>
    </w:p>
    <w:p w14:paraId="7A5E3DDC" w14:textId="77777777" w:rsidR="004F294C" w:rsidRPr="005952A7" w:rsidRDefault="004F294C" w:rsidP="004F294C">
      <w:pPr>
        <w:jc w:val="both"/>
      </w:pPr>
      <w:r w:rsidRPr="005952A7">
        <w:t xml:space="preserve">[3] Az élelmiszerek – rendeltetésüknek megfelelően – folyamatosan bekerülnek, és jelentős hányadukban be is épülnek az emberi szervezetbe. Ebből következően mindent </w:t>
      </w:r>
      <w:r w:rsidRPr="005952A7">
        <w:lastRenderedPageBreak/>
        <w:t>meg kell tenni a lehetséges negatív hatások kizárása, illetőleg csökkentése érdekében, hiszen az emberi szervezetbe kerülő élelmiszer egyszersmind igen nagy veszélyforrás is lehet. A hagyományostól eltérő technológiákban és termelési módokban olyan potenciális veszélyek rejlenek, amelyek alapvető értékeinket fenyegetik. E kihívásokra még nem rendelkezünk megnyugtató válasszal.</w:t>
      </w:r>
    </w:p>
    <w:p w14:paraId="0C781344" w14:textId="77777777" w:rsidR="004F294C" w:rsidRPr="005952A7" w:rsidRDefault="004F294C" w:rsidP="004F294C">
      <w:pPr>
        <w:jc w:val="both"/>
      </w:pPr>
      <w:r w:rsidRPr="005952A7">
        <w:t>[4] A vélelmezhető negatív hatások a laboratóriumi hús előállításának és forgalomba hozatalának általános tilalmát teszik indokolttá.</w:t>
      </w:r>
    </w:p>
    <w:p w14:paraId="7587D25E" w14:textId="77777777" w:rsidR="004F294C" w:rsidRPr="005952A7" w:rsidRDefault="004F294C" w:rsidP="004F294C">
      <w:pPr>
        <w:jc w:val="both"/>
      </w:pPr>
      <w:r w:rsidRPr="005952A7">
        <w:t>[5] E tilalom alól csak a legszűkebb körben lehetnek kivételek, ennek megfelelően a laboratóriumi hús előállítása és forgalomba hozatala kizárólag az orvosi és az állatgyógyászati célú felhasználás esetén lehet megengedett.</w:t>
      </w:r>
    </w:p>
    <w:p w14:paraId="769E68F7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362DBFA5" w14:textId="77777777" w:rsidR="004F294C" w:rsidRPr="005952A7" w:rsidRDefault="004F294C" w:rsidP="004F294C">
      <w:pPr>
        <w:numPr>
          <w:ilvl w:val="0"/>
          <w:numId w:val="27"/>
        </w:numPr>
        <w:jc w:val="both"/>
      </w:pPr>
      <w:r w:rsidRPr="005952A7">
        <w:rPr>
          <w:b/>
          <w:bCs/>
        </w:rPr>
        <w:t>OTTHONTEREMTÉSOTTHONTÁMOGATÁS</w:t>
      </w:r>
    </w:p>
    <w:p w14:paraId="141DF6C9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361/2025. (XI. 25.) Korm. rendelet az Otthontámogatásról</w:t>
      </w:r>
    </w:p>
    <w:p w14:paraId="5C912854" w14:textId="77777777" w:rsidR="004F294C" w:rsidRPr="005952A7" w:rsidRDefault="004F294C" w:rsidP="004F294C">
      <w:pPr>
        <w:jc w:val="both"/>
      </w:pPr>
      <w:r w:rsidRPr="005952A7">
        <w:t>[1] Magyarország Kormánya azért dolgozik, hogy minden magyar család szert tehessen saját otthonra.</w:t>
      </w:r>
    </w:p>
    <w:p w14:paraId="47C4F7E8" w14:textId="77777777" w:rsidR="004F294C" w:rsidRPr="005952A7" w:rsidRDefault="004F294C" w:rsidP="004F294C">
      <w:pPr>
        <w:jc w:val="both"/>
      </w:pPr>
      <w:r w:rsidRPr="005952A7">
        <w:t>[2] A kormányzati politika legfontosabb elemei az otthonteremtési és lakhatássegítő, valamint családpolitikai intézkedések. Ezt a célt szolgálja többek között a CSOK Plusz és a FIX 3%-os lakáshitel is. Az Otthontámogatás egy újabb lépés, amely a köz szolgálatára elhivatott embereket segíti. Ilyenek például az orvosok, ápolók, rendőrök, tanárok, katonák és más köztisztviselők.</w:t>
      </w:r>
    </w:p>
    <w:p w14:paraId="6A674D81" w14:textId="77777777" w:rsidR="004F294C" w:rsidRPr="005952A7" w:rsidRDefault="004F294C" w:rsidP="004F294C">
      <w:pPr>
        <w:jc w:val="both"/>
      </w:pPr>
      <w:r w:rsidRPr="005952A7">
        <w:t>[3] Az Otthontámogatás egy kérelemre nyújtható támogatás, amely lakáskölcsön felvételét vagy törlesztését segíti. A támogatás vissza nem térítendő, kedvező jogosító feltételek mellett vehető igénybe, és alanyi jogon jár. Éves keretösszege jogosultanként nettó egymillió forint lehet. Házastársak esetében közös hitelfelvételkor a támogatást mindketten kérhetik!</w:t>
      </w:r>
    </w:p>
    <w:p w14:paraId="18153FFB" w14:textId="77777777" w:rsidR="004F294C" w:rsidRPr="005952A7" w:rsidRDefault="004F294C" w:rsidP="004F294C">
      <w:pPr>
        <w:jc w:val="both"/>
      </w:pPr>
      <w:r w:rsidRPr="005952A7">
        <w:t>Főbb részek</w:t>
      </w:r>
    </w:p>
    <w:p w14:paraId="02444C2A" w14:textId="77777777" w:rsidR="004F294C" w:rsidRPr="005952A7" w:rsidRDefault="004F294C" w:rsidP="004F294C">
      <w:pPr>
        <w:numPr>
          <w:ilvl w:val="0"/>
          <w:numId w:val="28"/>
        </w:numPr>
        <w:jc w:val="both"/>
      </w:pPr>
      <w:r w:rsidRPr="005952A7">
        <w:t>Általános rendelkezések</w:t>
      </w:r>
    </w:p>
    <w:p w14:paraId="112AA1C8" w14:textId="77777777" w:rsidR="004F294C" w:rsidRPr="005952A7" w:rsidRDefault="004F294C" w:rsidP="004F294C">
      <w:pPr>
        <w:numPr>
          <w:ilvl w:val="0"/>
          <w:numId w:val="28"/>
        </w:numPr>
        <w:jc w:val="both"/>
      </w:pPr>
      <w:r w:rsidRPr="005952A7">
        <w:t>Munkáltatói regisztráció és igénybejelentés, foglalkoztatotti bejelentés és az Otthontámogatás fedezetének biztosításához kapcsolódó támogatás igénybevétele</w:t>
      </w:r>
    </w:p>
    <w:p w14:paraId="2B8D23D1" w14:textId="77777777" w:rsidR="004F294C" w:rsidRPr="005952A7" w:rsidRDefault="004F294C" w:rsidP="004F294C">
      <w:pPr>
        <w:numPr>
          <w:ilvl w:val="0"/>
          <w:numId w:val="28"/>
        </w:numPr>
        <w:jc w:val="both"/>
      </w:pPr>
      <w:r w:rsidRPr="005952A7">
        <w:t>Az Otthontámogatás felhasználási célja, mértéke, igénybevétele</w:t>
      </w:r>
    </w:p>
    <w:p w14:paraId="60A3CF35" w14:textId="77777777" w:rsidR="004F294C" w:rsidRPr="005952A7" w:rsidRDefault="004F294C" w:rsidP="004F294C">
      <w:pPr>
        <w:numPr>
          <w:ilvl w:val="0"/>
          <w:numId w:val="28"/>
        </w:numPr>
        <w:jc w:val="both"/>
      </w:pPr>
      <w:r w:rsidRPr="005952A7">
        <w:t>Jogosultsági feltételek</w:t>
      </w:r>
    </w:p>
    <w:p w14:paraId="07510CA2" w14:textId="77777777" w:rsidR="004F294C" w:rsidRPr="005952A7" w:rsidRDefault="004F294C" w:rsidP="004F294C">
      <w:pPr>
        <w:numPr>
          <w:ilvl w:val="0"/>
          <w:numId w:val="28"/>
        </w:numPr>
        <w:jc w:val="both"/>
      </w:pPr>
      <w:r w:rsidRPr="005952A7">
        <w:t>Az Otthontámogatás igénybevételével összefüggő szabályok</w:t>
      </w:r>
    </w:p>
    <w:p w14:paraId="4B5E574D" w14:textId="77777777" w:rsidR="004F294C" w:rsidRPr="005952A7" w:rsidRDefault="004F294C" w:rsidP="004F294C">
      <w:pPr>
        <w:numPr>
          <w:ilvl w:val="0"/>
          <w:numId w:val="28"/>
        </w:numPr>
        <w:jc w:val="both"/>
      </w:pPr>
      <w:r w:rsidRPr="005952A7">
        <w:t>Eljárási szabályok</w:t>
      </w:r>
    </w:p>
    <w:p w14:paraId="7D480481" w14:textId="77777777" w:rsidR="004F294C" w:rsidRPr="005952A7" w:rsidRDefault="004F294C" w:rsidP="004F294C">
      <w:pPr>
        <w:numPr>
          <w:ilvl w:val="0"/>
          <w:numId w:val="28"/>
        </w:numPr>
        <w:jc w:val="both"/>
      </w:pPr>
      <w:r w:rsidRPr="005952A7">
        <w:lastRenderedPageBreak/>
        <w:t>Az Otthontámogatás visszafizetése</w:t>
      </w:r>
    </w:p>
    <w:p w14:paraId="4EE1B968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44929E07" w14:textId="77777777" w:rsidR="004F294C" w:rsidRPr="005952A7" w:rsidRDefault="004F294C" w:rsidP="004F294C">
      <w:pPr>
        <w:numPr>
          <w:ilvl w:val="0"/>
          <w:numId w:val="29"/>
        </w:numPr>
        <w:jc w:val="both"/>
      </w:pPr>
      <w:r w:rsidRPr="005952A7">
        <w:rPr>
          <w:b/>
          <w:bCs/>
        </w:rPr>
        <w:t>RÁDIÓSPEKTRUM-GAZDÁLKODÁS</w:t>
      </w:r>
    </w:p>
    <w:p w14:paraId="47C544D0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10/2025. (XI. 11.) NMHH rendelet </w:t>
      </w:r>
      <w:r w:rsidRPr="005952A7">
        <w:t>a nem polgári célú rádióspektrum-gazdálkodás egyes hatósági eljárásairól</w:t>
      </w:r>
    </w:p>
    <w:p w14:paraId="75EDCA55" w14:textId="77777777" w:rsidR="004F294C" w:rsidRPr="005952A7" w:rsidRDefault="004F294C" w:rsidP="004F294C">
      <w:pPr>
        <w:jc w:val="both"/>
      </w:pPr>
      <w:r w:rsidRPr="005952A7">
        <w:t>[1] E rendelet célja, hogy a nem polgári célú rádióspektrum-gazdálkodás körébe tartozó szervezetek számára eljárási kereteket teremtsen a rádióspektrum nem polgári célokra történő használatához, és megállapítsa a nem polgári célú frekvenciakijelölés, valamint rádióengedély iránti kérelemmel összefüggő szabályokat.</w:t>
      </w:r>
    </w:p>
    <w:p w14:paraId="3E7818DD" w14:textId="77777777" w:rsidR="004F294C" w:rsidRPr="005952A7" w:rsidRDefault="004F294C" w:rsidP="004F294C">
      <w:pPr>
        <w:jc w:val="both"/>
      </w:pPr>
      <w:r w:rsidRPr="005952A7">
        <w:t>[2] A rendelet megteremti bármely rádióberendezés üzemszerű működésének módosítása, akadályozása vagy ellehetetlenítése céljából a rádiófrekvenciás ellentevékenység körében üzemeltethető berendezések használatának eljárási szabályrendszerét.</w:t>
      </w:r>
    </w:p>
    <w:p w14:paraId="205EA509" w14:textId="77777777" w:rsidR="004F294C" w:rsidRPr="005952A7" w:rsidRDefault="004F294C" w:rsidP="004F294C">
      <w:pPr>
        <w:jc w:val="both"/>
      </w:pPr>
      <w:r w:rsidRPr="005952A7">
        <w:t>[3] A rendelet tartalmazza a NATO eljárásban kiadott rádióengedély alapján végezhető tevékenység szabályait is, ezáltal biztosított lesz az ország területén vagy légterében engedéllyel tevékenykedő NATO-vezetésű erők, valamint a NATO-tagállamok és az 1995. évi LXVII. törvényben kihirdetett Békepartnerségben részt vevő más állam katonai szervezetek frekvenciaigényeinek a kielégítése.</w:t>
      </w:r>
    </w:p>
    <w:p w14:paraId="69EE206F" w14:textId="77777777" w:rsidR="004F294C" w:rsidRPr="005952A7" w:rsidRDefault="004F294C" w:rsidP="004F294C">
      <w:pPr>
        <w:jc w:val="both"/>
      </w:pPr>
      <w:r w:rsidRPr="005952A7">
        <w:t>Fontosabb részek:</w:t>
      </w:r>
    </w:p>
    <w:p w14:paraId="6F5F3E2E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Általános rendelkezések</w:t>
      </w:r>
    </w:p>
    <w:p w14:paraId="33E14E37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rádióspektrum-használat egyedi engedélyezése</w:t>
      </w:r>
    </w:p>
    <w:p w14:paraId="65827636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frekvenciakijelölési eljárás</w:t>
      </w:r>
    </w:p>
    <w:p w14:paraId="58FDD47A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rádióengedélyezési eljárás</w:t>
      </w:r>
    </w:p>
    <w:p w14:paraId="1CCD2483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egyszerűsített rádióengedély</w:t>
      </w:r>
    </w:p>
    <w:p w14:paraId="04FE876A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rövid idejű rádióengedély</w:t>
      </w:r>
    </w:p>
    <w:p w14:paraId="339DAE79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kísérleti rádióengedély</w:t>
      </w:r>
    </w:p>
    <w:p w14:paraId="433B1DF1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keret-rádióengedély</w:t>
      </w:r>
    </w:p>
    <w:p w14:paraId="4DF8730D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rádióforgalmazás</w:t>
      </w:r>
    </w:p>
    <w:p w14:paraId="4F62A505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hatósági ellenőrzés</w:t>
      </w:r>
    </w:p>
    <w:p w14:paraId="16618EDB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rádiómérő tevékenység</w:t>
      </w:r>
    </w:p>
    <w:p w14:paraId="37B21976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t>Nem polgári célú zavarelhárító tevékenység</w:t>
      </w:r>
    </w:p>
    <w:p w14:paraId="46879CA8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lastRenderedPageBreak/>
        <w:t>Nem polgári célú adatszolgáltatás és -nyilvántartás</w:t>
      </w:r>
    </w:p>
    <w:p w14:paraId="5B91BC3C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rPr>
          <w:b/>
          <w:bCs/>
        </w:rPr>
        <w:t>§ </w:t>
      </w:r>
      <w:r w:rsidRPr="005952A7">
        <w:t>Ez a rendelet a kihirdetését követő harmincadik napon lép hatályba.</w:t>
      </w:r>
    </w:p>
    <w:p w14:paraId="00EF3686" w14:textId="77777777" w:rsidR="004F294C" w:rsidRPr="005952A7" w:rsidRDefault="004F294C" w:rsidP="004F294C">
      <w:pPr>
        <w:numPr>
          <w:ilvl w:val="0"/>
          <w:numId w:val="30"/>
        </w:numPr>
        <w:jc w:val="both"/>
      </w:pPr>
      <w:r w:rsidRPr="005952A7">
        <w:rPr>
          <w:b/>
          <w:bCs/>
        </w:rPr>
        <w:t>§ </w:t>
      </w:r>
      <w:r w:rsidRPr="005952A7">
        <w:t>Hatályát veszti a nem polgári célú frekvenciagazdálkodás egyes hatósági eljárásairól szóló 11/2011. (XII. 16.) NMHH rendelet.</w:t>
      </w:r>
    </w:p>
    <w:p w14:paraId="740B554B" w14:textId="77777777" w:rsidR="004F294C" w:rsidRPr="005952A7" w:rsidRDefault="004F294C" w:rsidP="004F294C">
      <w:pPr>
        <w:numPr>
          <w:ilvl w:val="0"/>
          <w:numId w:val="31"/>
        </w:numPr>
        <w:jc w:val="both"/>
      </w:pPr>
      <w:r w:rsidRPr="005952A7">
        <w:rPr>
          <w:b/>
          <w:bCs/>
        </w:rPr>
        <w:t>SPORT</w:t>
      </w:r>
    </w:p>
    <w:p w14:paraId="71D41B4D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346/2025. (XI. 4.) Korm. rendelet a sportról szóló törvény veszélyhelyzet idején történő eltérő alkalmazásáról</w:t>
      </w:r>
    </w:p>
    <w:p w14:paraId="7128447E" w14:textId="77777777" w:rsidR="004F294C" w:rsidRPr="005952A7" w:rsidRDefault="004F294C" w:rsidP="004F294C">
      <w:pPr>
        <w:jc w:val="both"/>
      </w:pPr>
      <w:r w:rsidRPr="005952A7">
        <w:t>[1] A Kormány stratégiai ágazatként tekint a sportra, a sport ágazaton belül az egyes sportegyesületek szerepe kiemelkedő. Ezen szervezetek nagyban hozzájárulnak a gyermekek sportra neveléséhez, a sport általános népszerűsítéséhez, a sporttevékenység lehetőségének biztosításához, a versenysport működtetéséhez. Erre tekintettel a Kormány célja, hogy a háború okozta nehézségek enyhítése érdekében segítséget nyújtson a sportegyesületek részére.</w:t>
      </w:r>
    </w:p>
    <w:p w14:paraId="30D888CA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1.</w:t>
      </w:r>
      <w:r w:rsidRPr="005952A7">
        <w:rPr>
          <w:rFonts w:ascii="Arial" w:hAnsi="Arial" w:cs="Arial"/>
          <w:b/>
          <w:bCs/>
        </w:rPr>
        <w:t> </w:t>
      </w:r>
      <w:r w:rsidRPr="005952A7">
        <w:rPr>
          <w:rFonts w:ascii="Aptos" w:hAnsi="Aptos" w:cs="Aptos"/>
          <w:b/>
          <w:bCs/>
        </w:rPr>
        <w:t>§</w:t>
      </w:r>
      <w:r w:rsidRPr="005952A7">
        <w:t> Az Ukrajna területén fennálló fegyveres konfliktusra, illetve humanitárius katasztrófára tekintettel, valamint ezek magyarországi következményeinek az elhárítása és kezelése érdekében veszélyhelyzet kihirdetéséről és egyes veszélyhelyzeti szabályokról szóló </w:t>
      </w:r>
      <w:hyperlink r:id="rId50" w:tgtFrame="_blank" w:history="1">
        <w:r w:rsidRPr="005952A7">
          <w:rPr>
            <w:rStyle w:val="Hiperhivatkozs"/>
            <w:b/>
            <w:bCs/>
          </w:rPr>
          <w:t>424/2022. (X. 28.) Korm. rendelet</w:t>
        </w:r>
      </w:hyperlink>
      <w:r w:rsidRPr="005952A7">
        <w:t> szerinti veszélyhelyzet ideje alatt a sportról szóló </w:t>
      </w:r>
      <w:hyperlink r:id="rId51" w:tgtFrame="_blank" w:history="1">
        <w:r w:rsidRPr="005952A7">
          <w:rPr>
            <w:rStyle w:val="Hiperhivatkozs"/>
            <w:b/>
            <w:bCs/>
          </w:rPr>
          <w:t>2004. évi I. törvény 76/B. § (2)</w:t>
        </w:r>
      </w:hyperlink>
      <w:r w:rsidRPr="005952A7">
        <w:t> és </w:t>
      </w:r>
      <w:hyperlink r:id="rId52" w:tgtFrame="_blank" w:history="1">
        <w:r w:rsidRPr="005952A7">
          <w:rPr>
            <w:rStyle w:val="Hiperhivatkozs"/>
            <w:b/>
            <w:bCs/>
          </w:rPr>
          <w:t>(3) bekezdés</w:t>
        </w:r>
      </w:hyperlink>
      <w:r w:rsidRPr="005952A7">
        <w:t>étől eltérően a vagyonkezelőt 2025. január 1. napjától 2025. december 31. napjáig vagyonkezelési díjfizetési kötelezettség nem terheli.</w:t>
      </w:r>
    </w:p>
    <w:p w14:paraId="7E048053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3.</w:t>
      </w:r>
      <w:r w:rsidRPr="005952A7">
        <w:rPr>
          <w:rFonts w:ascii="Arial" w:hAnsi="Arial" w:cs="Arial"/>
          <w:b/>
          <w:bCs/>
        </w:rPr>
        <w:t> </w:t>
      </w:r>
      <w:r w:rsidRPr="005952A7">
        <w:rPr>
          <w:rFonts w:ascii="Aptos" w:hAnsi="Aptos" w:cs="Aptos"/>
          <w:b/>
          <w:bCs/>
        </w:rPr>
        <w:t>§</w:t>
      </w:r>
      <w:r w:rsidRPr="005952A7">
        <w:t> Az e rendelet hatálybalépését megelőzően a díjfizetési kötelezettség alól mentesített időszakra megfizetett vagyonkezelői díj a vagyonkezelőnek visszajár.</w:t>
      </w:r>
    </w:p>
    <w:p w14:paraId="0DBBF348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13/2025. (XI. 4.) HM rendelet </w:t>
      </w:r>
      <w:r w:rsidRPr="005952A7">
        <w:t>a </w:t>
      </w:r>
      <w:r w:rsidRPr="005952A7">
        <w:rPr>
          <w:b/>
          <w:bCs/>
        </w:rPr>
        <w:t>sportcélú</w:t>
      </w:r>
      <w:r w:rsidRPr="005952A7">
        <w:t> fejezeti és központi kezelésű előirányzatok kezelésének és felhasználásának rendjéről szóló </w:t>
      </w:r>
      <w:hyperlink r:id="rId53" w:tgtFrame="_blank" w:history="1">
        <w:r w:rsidRPr="005952A7">
          <w:rPr>
            <w:rStyle w:val="Hiperhivatkozs"/>
            <w:b/>
            <w:bCs/>
          </w:rPr>
          <w:t>49/2023. (XII. 28.) HM rendelet</w:t>
        </w:r>
      </w:hyperlink>
      <w:r w:rsidRPr="005952A7">
        <w:t> módosításáról</w:t>
      </w:r>
    </w:p>
    <w:p w14:paraId="7E70BFD5" w14:textId="77777777" w:rsidR="004F294C" w:rsidRPr="005952A7" w:rsidRDefault="004F294C" w:rsidP="004F294C">
      <w:pPr>
        <w:jc w:val="both"/>
      </w:pPr>
      <w:r w:rsidRPr="005952A7">
        <w:t>[1] E rendelet célja a nemzetközi jogi személyek, nemzetközi szervezetek magyarországi működése támogatásának elősegítése.</w:t>
      </w:r>
    </w:p>
    <w:p w14:paraId="467C54CD" w14:textId="77777777" w:rsidR="004F294C" w:rsidRPr="005952A7" w:rsidRDefault="004F294C" w:rsidP="004F294C">
      <w:pPr>
        <w:numPr>
          <w:ilvl w:val="0"/>
          <w:numId w:val="32"/>
        </w:numPr>
        <w:jc w:val="both"/>
      </w:pPr>
      <w:r w:rsidRPr="005952A7">
        <w:rPr>
          <w:b/>
          <w:bCs/>
        </w:rPr>
        <w:t>STRATÉGIAI JELENTŐSÉGŰ ÉPÍTÉSI ANYAGOK</w:t>
      </w:r>
    </w:p>
    <w:p w14:paraId="2ACE1138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33/2025. (XI. 4.) ÉKM rendelet a stratégiai jelentőségű építési anyagok</w:t>
      </w:r>
      <w:r w:rsidRPr="005952A7">
        <w:t> megállapításáról</w:t>
      </w:r>
    </w:p>
    <w:p w14:paraId="3E775587" w14:textId="77777777" w:rsidR="004F294C" w:rsidRPr="005952A7" w:rsidRDefault="004F294C" w:rsidP="004F294C">
      <w:pPr>
        <w:jc w:val="both"/>
      </w:pPr>
      <w:r w:rsidRPr="005952A7">
        <w:t>[1] A stratégiai jelentőségű építési anyagok kivitelének szabályait a magyar építészetről szóló </w:t>
      </w:r>
      <w:hyperlink r:id="rId54" w:tgtFrame="_blank" w:history="1">
        <w:r w:rsidRPr="005952A7">
          <w:rPr>
            <w:rStyle w:val="Hiperhivatkozs"/>
            <w:b/>
            <w:bCs/>
          </w:rPr>
          <w:t>2023. évi C. törvény</w:t>
        </w:r>
      </w:hyperlink>
      <w:r w:rsidRPr="005952A7">
        <w:t> tartalmazza, amely szabályozásnak koherens részét képezi a stratégiai jelentőségű építési anyagok körének meghatározása.</w:t>
      </w:r>
    </w:p>
    <w:p w14:paraId="03190120" w14:textId="77777777" w:rsidR="004F294C" w:rsidRPr="005952A7" w:rsidRDefault="004F294C" w:rsidP="004F294C">
      <w:pPr>
        <w:jc w:val="both"/>
      </w:pPr>
      <w:r w:rsidRPr="005952A7">
        <w:rPr>
          <w:i/>
          <w:iCs/>
        </w:rPr>
        <w:t>A rendelet melléklete 15 stratégiai jelentőségű építési anyagot tartalmaz.</w:t>
      </w:r>
    </w:p>
    <w:p w14:paraId="714CDD5F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lastRenderedPageBreak/>
        <w:t> </w:t>
      </w:r>
    </w:p>
    <w:p w14:paraId="2CD580EC" w14:textId="77777777" w:rsidR="004F294C" w:rsidRPr="005952A7" w:rsidRDefault="004F294C" w:rsidP="004F294C">
      <w:pPr>
        <w:numPr>
          <w:ilvl w:val="0"/>
          <w:numId w:val="33"/>
        </w:numPr>
        <w:jc w:val="both"/>
      </w:pPr>
      <w:r w:rsidRPr="005952A7">
        <w:rPr>
          <w:b/>
          <w:bCs/>
        </w:rPr>
        <w:t>TÁRSASHÁZAK</w:t>
      </w:r>
    </w:p>
    <w:p w14:paraId="15BFAE6F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2025. évi LXXXVIII. törvény egyes törvényeknek a társasházi építményi jog bevezetésével összefüggő módosításáról</w:t>
      </w:r>
    </w:p>
    <w:p w14:paraId="7593A3D9" w14:textId="77777777" w:rsidR="004F294C" w:rsidRPr="005952A7" w:rsidRDefault="004F294C" w:rsidP="004F294C">
      <w:pPr>
        <w:jc w:val="both"/>
      </w:pPr>
      <w:r w:rsidRPr="005952A7">
        <w:t>[1] Az Otthon Start hitelprogram új fejezetet nyit a rendszerváltás utáni lakáspolitika történetében.</w:t>
      </w:r>
    </w:p>
    <w:p w14:paraId="3C01BFA2" w14:textId="77777777" w:rsidR="004F294C" w:rsidRPr="005952A7" w:rsidRDefault="004F294C" w:rsidP="004F294C">
      <w:pPr>
        <w:jc w:val="both"/>
      </w:pPr>
      <w:r w:rsidRPr="005952A7">
        <w:t>[2] A fix, 3%-os kamatozású kölcsön több tízezer honfitársunk számára nyújt valódi segítséget abban, hogy megszerezzék első saját otthonukat.</w:t>
      </w:r>
    </w:p>
    <w:p w14:paraId="2A2170CF" w14:textId="77777777" w:rsidR="004F294C" w:rsidRPr="005952A7" w:rsidRDefault="004F294C" w:rsidP="004F294C">
      <w:pPr>
        <w:jc w:val="both"/>
      </w:pPr>
      <w:r w:rsidRPr="005952A7">
        <w:t>[3] A Kormány célja, hogy több tízezer új lakás építését indítsa el, amely nem csupán a lakáskínálat bővülését biztosítja, hanem az építőipar egészét, és ezen keresztül a magyar gazdaságot is új lendületbe hozza.</w:t>
      </w:r>
    </w:p>
    <w:p w14:paraId="5FF18F90" w14:textId="77777777" w:rsidR="004F294C" w:rsidRPr="005952A7" w:rsidRDefault="004F294C" w:rsidP="004F294C">
      <w:pPr>
        <w:jc w:val="both"/>
      </w:pPr>
      <w:r w:rsidRPr="005952A7">
        <w:t>[4] E törekvések egyik mérföldköve a társasházi építményi jog megteremtése.</w:t>
      </w:r>
    </w:p>
    <w:p w14:paraId="511D6366" w14:textId="77777777" w:rsidR="004F294C" w:rsidRPr="005952A7" w:rsidRDefault="004F294C" w:rsidP="004F294C">
      <w:pPr>
        <w:jc w:val="both"/>
      </w:pPr>
      <w:r w:rsidRPr="005952A7">
        <w:t>[5] Ez az innovatív, korszakalkotó jogintézmény minden eddiginél nagyobb biztonságot nyújt a folyamatban lévő beruházások során a vásárlóknak, a kivitelezőknek, valamint a hitelintézeteknek egyaránt.</w:t>
      </w:r>
    </w:p>
    <w:p w14:paraId="6F7B22F5" w14:textId="77777777" w:rsidR="004F294C" w:rsidRPr="005952A7" w:rsidRDefault="004F294C" w:rsidP="004F294C">
      <w:pPr>
        <w:jc w:val="both"/>
      </w:pPr>
      <w:r w:rsidRPr="005952A7">
        <w:t>[6] A piacbiztonság fokozottabb védelme érdekében az Országgyűlés a következő törvényt alkotja:</w:t>
      </w:r>
    </w:p>
    <w:p w14:paraId="61F90837" w14:textId="77777777" w:rsidR="004F294C" w:rsidRPr="005952A7" w:rsidRDefault="004F294C" w:rsidP="004F294C">
      <w:pPr>
        <w:jc w:val="both"/>
      </w:pPr>
      <w:r w:rsidRPr="005952A7">
        <w:t>Módosul:</w:t>
      </w:r>
    </w:p>
    <w:p w14:paraId="29BCFF85" w14:textId="77777777" w:rsidR="004F294C" w:rsidRPr="005952A7" w:rsidRDefault="004F294C" w:rsidP="004F294C">
      <w:pPr>
        <w:numPr>
          <w:ilvl w:val="0"/>
          <w:numId w:val="34"/>
        </w:numPr>
        <w:jc w:val="both"/>
      </w:pPr>
      <w:r w:rsidRPr="005952A7">
        <w:rPr>
          <w:b/>
          <w:bCs/>
        </w:rPr>
        <w:t>A közjegyzőkről szóló </w:t>
      </w:r>
      <w:hyperlink r:id="rId55" w:tgtFrame="_blank" w:history="1">
        <w:r w:rsidRPr="005952A7">
          <w:rPr>
            <w:rStyle w:val="Hiperhivatkozs"/>
            <w:b/>
            <w:bCs/>
          </w:rPr>
          <w:t>évi XLI. törvény</w:t>
        </w:r>
      </w:hyperlink>
    </w:p>
    <w:p w14:paraId="52A36D7A" w14:textId="77777777" w:rsidR="004F294C" w:rsidRPr="005952A7" w:rsidRDefault="004F294C" w:rsidP="004F294C">
      <w:pPr>
        <w:numPr>
          <w:ilvl w:val="0"/>
          <w:numId w:val="34"/>
        </w:numPr>
        <w:jc w:val="both"/>
      </w:pPr>
      <w:r w:rsidRPr="005952A7">
        <w:rPr>
          <w:b/>
          <w:bCs/>
        </w:rPr>
        <w:t>A családok támogatásáról szóló </w:t>
      </w:r>
      <w:hyperlink r:id="rId56" w:tgtFrame="_blank" w:history="1">
        <w:r w:rsidRPr="005952A7">
          <w:rPr>
            <w:rStyle w:val="Hiperhivatkozs"/>
            <w:b/>
            <w:bCs/>
          </w:rPr>
          <w:t>évi LXXXIV. törvény</w:t>
        </w:r>
      </w:hyperlink>
    </w:p>
    <w:p w14:paraId="62ABCB31" w14:textId="77777777" w:rsidR="004F294C" w:rsidRPr="005952A7" w:rsidRDefault="004F294C" w:rsidP="004F294C">
      <w:pPr>
        <w:numPr>
          <w:ilvl w:val="0"/>
          <w:numId w:val="34"/>
        </w:numPr>
        <w:jc w:val="both"/>
      </w:pPr>
      <w:r w:rsidRPr="005952A7">
        <w:rPr>
          <w:b/>
          <w:bCs/>
        </w:rPr>
        <w:t>A társasházakról szóló </w:t>
      </w:r>
      <w:hyperlink r:id="rId57" w:tgtFrame="_blank" w:history="1">
        <w:r w:rsidRPr="005952A7">
          <w:rPr>
            <w:rStyle w:val="Hiperhivatkozs"/>
            <w:b/>
            <w:bCs/>
          </w:rPr>
          <w:t>évi CXXXIII. törvény</w:t>
        </w:r>
      </w:hyperlink>
    </w:p>
    <w:p w14:paraId="739F09E3" w14:textId="77777777" w:rsidR="004F294C" w:rsidRPr="005952A7" w:rsidRDefault="004F294C" w:rsidP="004F294C">
      <w:pPr>
        <w:numPr>
          <w:ilvl w:val="0"/>
          <w:numId w:val="34"/>
        </w:numPr>
        <w:jc w:val="both"/>
      </w:pPr>
      <w:r w:rsidRPr="005952A7">
        <w:rPr>
          <w:b/>
          <w:bCs/>
        </w:rPr>
        <w:t>Az ingatlan-nyilvántartásról szóló </w:t>
      </w:r>
      <w:hyperlink r:id="rId58" w:tgtFrame="_blank" w:history="1">
        <w:r w:rsidRPr="005952A7">
          <w:rPr>
            <w:rStyle w:val="Hiperhivatkozs"/>
            <w:b/>
            <w:bCs/>
          </w:rPr>
          <w:t>évi C. törvény</w:t>
        </w:r>
      </w:hyperlink>
    </w:p>
    <w:p w14:paraId="374B49AB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5E55F6DE" w14:textId="77777777" w:rsidR="004F294C" w:rsidRPr="005952A7" w:rsidRDefault="004F294C" w:rsidP="004F294C">
      <w:pPr>
        <w:numPr>
          <w:ilvl w:val="0"/>
          <w:numId w:val="35"/>
        </w:numPr>
        <w:jc w:val="both"/>
      </w:pPr>
      <w:r w:rsidRPr="005952A7">
        <w:rPr>
          <w:b/>
          <w:bCs/>
        </w:rPr>
        <w:t>TÁMOGATÁS</w:t>
      </w:r>
    </w:p>
    <w:p w14:paraId="22EC8302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348/2025. (XI. 4.) Korm. rendelet a Bérgarancia Alapból történő támogatás-lehívás veszélyhelyzeti szabályairól szóló </w:t>
      </w:r>
      <w:hyperlink r:id="rId59" w:tgtFrame="_blank" w:history="1">
        <w:r w:rsidRPr="005952A7">
          <w:rPr>
            <w:rStyle w:val="Hiperhivatkozs"/>
            <w:b/>
            <w:bCs/>
          </w:rPr>
          <w:t>65/2025. (III. 31.) Korm. rendelet</w:t>
        </w:r>
      </w:hyperlink>
      <w:r w:rsidRPr="005952A7">
        <w:t> </w:t>
      </w:r>
      <w:r w:rsidRPr="005952A7">
        <w:rPr>
          <w:b/>
          <w:bCs/>
        </w:rPr>
        <w:t>módosításáról</w:t>
      </w:r>
    </w:p>
    <w:p w14:paraId="666AADD4" w14:textId="77777777" w:rsidR="004F294C" w:rsidRPr="005952A7" w:rsidRDefault="004F294C" w:rsidP="004F294C">
      <w:pPr>
        <w:jc w:val="both"/>
      </w:pPr>
      <w:r w:rsidRPr="005952A7">
        <w:t>[1] A ragadós száj- és körömfájás sújtotta gazdálkodók által a Bérgarancia Alapból igénybe vett támogatás szabályainak módosítása szükséges annak érdekében, hogy az újraindulás során az általános szabályoktól eltérően magasabb összegű támogatásra legyenek jogosultak.</w:t>
      </w:r>
    </w:p>
    <w:p w14:paraId="259B9082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 </w:t>
      </w:r>
    </w:p>
    <w:p w14:paraId="5C0393AE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lastRenderedPageBreak/>
        <w:t>347/2025. (XI. 4.) Korm. rendelet az európai uniós versenyjogi értelemben vett állami támogatásokkal kapcsolatos eljárásról és a regionális támogatási térképről szóló </w:t>
      </w:r>
      <w:hyperlink r:id="rId60" w:tgtFrame="_blank" w:history="1">
        <w:r w:rsidRPr="005952A7">
          <w:rPr>
            <w:rStyle w:val="Hiperhivatkozs"/>
            <w:b/>
            <w:bCs/>
          </w:rPr>
          <w:t>37/2011. (III. 22.) Korm. rendelet</w:t>
        </w:r>
      </w:hyperlink>
      <w:r w:rsidRPr="005952A7">
        <w:t> </w:t>
      </w:r>
      <w:r w:rsidRPr="005952A7">
        <w:rPr>
          <w:b/>
          <w:bCs/>
        </w:rPr>
        <w:t>módosításáról</w:t>
      </w:r>
    </w:p>
    <w:p w14:paraId="10456CDB" w14:textId="77777777" w:rsidR="004F294C" w:rsidRPr="005952A7" w:rsidRDefault="004F294C" w:rsidP="004F294C">
      <w:pPr>
        <w:jc w:val="both"/>
      </w:pPr>
      <w:r w:rsidRPr="005952A7">
        <w:t>[1] Csekély összegű támogatás nyújtása esetén a támogatást nyújtónak előzetesen meg kell bizonyosodnia arról, hogy a kedvezményezett által igényelt támogatás három éven belül nem haladja meg az uniós állami támogatási szabályozásban meghatározott maximális értékhatárt. Emiatt a kedvezményezettet nyilatkozattételi, a támogatást nyújtót pedig igazoláskibocsátási kötelezettség terheli.</w:t>
      </w:r>
    </w:p>
    <w:p w14:paraId="526DBD96" w14:textId="77777777" w:rsidR="004F294C" w:rsidRPr="005952A7" w:rsidRDefault="004F294C" w:rsidP="004F294C">
      <w:pPr>
        <w:jc w:val="both"/>
      </w:pPr>
      <w:r w:rsidRPr="005952A7">
        <w:t>[2] A szabályozás az uniós állami támogatási szabályokkal összhangban módosítja a vonatkozó kormányrendeleti szabályokat, mivel a csekély összegű támogatásokat kötelező központi adatbázisban nyilvántartani és hozzáférhetővé tenni.</w:t>
      </w:r>
    </w:p>
    <w:p w14:paraId="570F0DE4" w14:textId="77777777" w:rsidR="004F294C" w:rsidRPr="005952A7" w:rsidRDefault="004F294C" w:rsidP="004F294C">
      <w:pPr>
        <w:jc w:val="both"/>
      </w:pPr>
      <w:r w:rsidRPr="005952A7">
        <w:t>[3] A rendelet továbbá a vonatkozó uniós szabályozás alapján az adminisztratív terhek csökkentése érdekében hatályon kívül helyezi a feldolgozóiparban működő, a legutóbbi pénzügyi évben 250 millió eurót meghaladó árbevétellel rendelkező közvállalkozásokat terhelő évenkénti pénzügyi információnyújtási kötelezettséget.</w:t>
      </w:r>
    </w:p>
    <w:p w14:paraId="7794BAF7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1.</w:t>
      </w:r>
      <w:r w:rsidRPr="005952A7">
        <w:rPr>
          <w:rFonts w:ascii="Arial" w:hAnsi="Arial" w:cs="Arial"/>
          <w:b/>
          <w:bCs/>
        </w:rPr>
        <w:t> </w:t>
      </w:r>
      <w:r w:rsidRPr="005952A7">
        <w:rPr>
          <w:rFonts w:ascii="Aptos" w:hAnsi="Aptos" w:cs="Aptos"/>
          <w:b/>
          <w:bCs/>
        </w:rPr>
        <w:t>§</w:t>
      </w:r>
      <w:r w:rsidRPr="005952A7">
        <w:t> Az Ukrajna területén fennálló fegyveres konfliktusra, illetve humanitárius katasztrófára tekintettel, valamint ezek magyarországi következményeinek az elhárítása és kezelése érdekében veszélyhelyzet kihirdetéséről és egyes veszélyhelyzeti szabályokról szóló </w:t>
      </w:r>
      <w:hyperlink r:id="rId61" w:tgtFrame="_blank" w:history="1">
        <w:r w:rsidRPr="005952A7">
          <w:rPr>
            <w:rStyle w:val="Hiperhivatkozs"/>
            <w:b/>
            <w:bCs/>
          </w:rPr>
          <w:t>424/2022. (X. 28.) Korm. rendelet</w:t>
        </w:r>
      </w:hyperlink>
      <w:r w:rsidRPr="005952A7">
        <w:t> szerinti veszélyhelyzet ideje alatt a sportról szóló </w:t>
      </w:r>
      <w:hyperlink r:id="rId62" w:tgtFrame="_blank" w:history="1">
        <w:r w:rsidRPr="005952A7">
          <w:rPr>
            <w:rStyle w:val="Hiperhivatkozs"/>
            <w:b/>
            <w:bCs/>
          </w:rPr>
          <w:t>2004. évi I. törvény 76/B. § (2)</w:t>
        </w:r>
      </w:hyperlink>
      <w:r w:rsidRPr="005952A7">
        <w:t> és </w:t>
      </w:r>
      <w:hyperlink r:id="rId63" w:tgtFrame="_blank" w:history="1">
        <w:r w:rsidRPr="005952A7">
          <w:rPr>
            <w:rStyle w:val="Hiperhivatkozs"/>
            <w:b/>
            <w:bCs/>
          </w:rPr>
          <w:t>(3) bekezdés</w:t>
        </w:r>
      </w:hyperlink>
      <w:r w:rsidRPr="005952A7">
        <w:t>étől eltérően a vagyonkezelőt 2025. január 1. napjától 2025. december 31. napjáig vagyonkezelési díjfizetési kötelezettség nem terheli.</w:t>
      </w:r>
    </w:p>
    <w:p w14:paraId="1FD59F73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3.</w:t>
      </w:r>
      <w:r w:rsidRPr="005952A7">
        <w:rPr>
          <w:rFonts w:ascii="Arial" w:hAnsi="Arial" w:cs="Arial"/>
          <w:b/>
          <w:bCs/>
        </w:rPr>
        <w:t> </w:t>
      </w:r>
      <w:r w:rsidRPr="005952A7">
        <w:rPr>
          <w:rFonts w:ascii="Aptos" w:hAnsi="Aptos" w:cs="Aptos"/>
          <w:b/>
          <w:bCs/>
        </w:rPr>
        <w:t>§</w:t>
      </w:r>
      <w:r w:rsidRPr="005952A7">
        <w:t> Az e rendelet hatálybalépését megelőzően a díjfizetési kötelezettség alól mentesített időszakra megfizetett vagyonkezelői díj a vagyonkezelőnek visszajár.</w:t>
      </w:r>
    </w:p>
    <w:p w14:paraId="6152D338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47/2025. (XI. 11.) AM rendelet</w:t>
      </w:r>
      <w:r w:rsidRPr="005952A7">
        <w:t> Az MFB Élelmiszeripari Forgóeszköz Hitelprogram 2025 kapcsán kamat megfizetéséhez igénybe vehető </w:t>
      </w:r>
      <w:r w:rsidRPr="005952A7">
        <w:rPr>
          <w:b/>
          <w:bCs/>
        </w:rPr>
        <w:t>csekély összegű támogatásról</w:t>
      </w:r>
    </w:p>
    <w:p w14:paraId="417E0062" w14:textId="77777777" w:rsidR="004F294C" w:rsidRPr="005952A7" w:rsidRDefault="004F294C" w:rsidP="004F294C">
      <w:pPr>
        <w:numPr>
          <w:ilvl w:val="0"/>
          <w:numId w:val="36"/>
        </w:numPr>
        <w:jc w:val="both"/>
      </w:pPr>
      <w:r w:rsidRPr="005952A7">
        <w:rPr>
          <w:b/>
          <w:bCs/>
        </w:rPr>
        <w:t>VILLAMOS ENERGIA</w:t>
      </w:r>
    </w:p>
    <w:p w14:paraId="19E17ECE" w14:textId="77777777" w:rsidR="004F294C" w:rsidRPr="005952A7" w:rsidRDefault="004F294C" w:rsidP="004F294C">
      <w:pPr>
        <w:jc w:val="both"/>
      </w:pPr>
      <w:r w:rsidRPr="005952A7">
        <w:rPr>
          <w:b/>
          <w:bCs/>
        </w:rPr>
        <w:t>31/2025. (XI. 11.) EM rendelet </w:t>
      </w:r>
      <w:r w:rsidRPr="005952A7">
        <w:t>A villamos energia egyetemes szolgáltatás árképzéséről szóló 4/2011. (I. 31.) NFM rendelet és a megújuló energiaforrásokból nyert energiával termelt villamos energia működési támogatásának finanszírozásához szükséges pénzeszköz mértékének megállapítási módjára és megfizetésére vonatkozó részletes szabályokról szóló 63/2016. (XII. 28.) NFM rendelet módosításáról</w:t>
      </w:r>
    </w:p>
    <w:p w14:paraId="0FF9530D" w14:textId="56368D8D" w:rsidR="002243E0" w:rsidRDefault="004F294C" w:rsidP="004F294C">
      <w:pPr>
        <w:jc w:val="both"/>
      </w:pPr>
      <w:r w:rsidRPr="005952A7">
        <w:t>[1] A rezsicsökkentés Európa legalacsonyabb áram- és gázárait garantálja a magyar családok számára. A módosítás célja a rezsivédelmi szolgáltatás meghosszabbítása változatlan feltételekkel a 2026-os évre. A rezsicsökkentés így jövőre is a 2022 augusztusa óta megszokott, bevált formában segíti majd a hazai fogyasztókat.</w:t>
      </w:r>
    </w:p>
    <w:sectPr w:rsidR="0022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86D"/>
    <w:multiLevelType w:val="multilevel"/>
    <w:tmpl w:val="7F42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46996"/>
    <w:multiLevelType w:val="multilevel"/>
    <w:tmpl w:val="DE32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05BE8"/>
    <w:multiLevelType w:val="multilevel"/>
    <w:tmpl w:val="5C9411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70D60"/>
    <w:multiLevelType w:val="multilevel"/>
    <w:tmpl w:val="91D88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1750F"/>
    <w:multiLevelType w:val="multilevel"/>
    <w:tmpl w:val="1BA4E8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52326"/>
    <w:multiLevelType w:val="multilevel"/>
    <w:tmpl w:val="3656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990525"/>
    <w:multiLevelType w:val="multilevel"/>
    <w:tmpl w:val="17F6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D6914"/>
    <w:multiLevelType w:val="multilevel"/>
    <w:tmpl w:val="C93CA0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DF3771"/>
    <w:multiLevelType w:val="multilevel"/>
    <w:tmpl w:val="7422C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208"/>
    <w:multiLevelType w:val="multilevel"/>
    <w:tmpl w:val="A25627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71957"/>
    <w:multiLevelType w:val="multilevel"/>
    <w:tmpl w:val="AF3E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A1028"/>
    <w:multiLevelType w:val="multilevel"/>
    <w:tmpl w:val="1F0C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44FAE"/>
    <w:multiLevelType w:val="multilevel"/>
    <w:tmpl w:val="0912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A53F2"/>
    <w:multiLevelType w:val="multilevel"/>
    <w:tmpl w:val="6A4E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3F7212"/>
    <w:multiLevelType w:val="multilevel"/>
    <w:tmpl w:val="BAFC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12F26"/>
    <w:multiLevelType w:val="multilevel"/>
    <w:tmpl w:val="1EE23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15B7D"/>
    <w:multiLevelType w:val="multilevel"/>
    <w:tmpl w:val="45FE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8C4049"/>
    <w:multiLevelType w:val="multilevel"/>
    <w:tmpl w:val="E1A049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C1195"/>
    <w:multiLevelType w:val="multilevel"/>
    <w:tmpl w:val="4E24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E1F84"/>
    <w:multiLevelType w:val="multilevel"/>
    <w:tmpl w:val="A8BE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631B5"/>
    <w:multiLevelType w:val="multilevel"/>
    <w:tmpl w:val="4D2AD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3F2D6E"/>
    <w:multiLevelType w:val="multilevel"/>
    <w:tmpl w:val="189A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46252E"/>
    <w:multiLevelType w:val="multilevel"/>
    <w:tmpl w:val="1D56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D34F2"/>
    <w:multiLevelType w:val="multilevel"/>
    <w:tmpl w:val="D26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5315C"/>
    <w:multiLevelType w:val="multilevel"/>
    <w:tmpl w:val="BE78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7E615D"/>
    <w:multiLevelType w:val="multilevel"/>
    <w:tmpl w:val="F41E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87511"/>
    <w:multiLevelType w:val="multilevel"/>
    <w:tmpl w:val="9B2ED9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C2761A"/>
    <w:multiLevelType w:val="multilevel"/>
    <w:tmpl w:val="256E47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0C3520"/>
    <w:multiLevelType w:val="multilevel"/>
    <w:tmpl w:val="B0CAC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6A218B"/>
    <w:multiLevelType w:val="multilevel"/>
    <w:tmpl w:val="230853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F06396"/>
    <w:multiLevelType w:val="multilevel"/>
    <w:tmpl w:val="8FBC9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D32F35"/>
    <w:multiLevelType w:val="multilevel"/>
    <w:tmpl w:val="7274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325A8E"/>
    <w:multiLevelType w:val="multilevel"/>
    <w:tmpl w:val="715C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95FEB"/>
    <w:multiLevelType w:val="multilevel"/>
    <w:tmpl w:val="F890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690529"/>
    <w:multiLevelType w:val="multilevel"/>
    <w:tmpl w:val="4F60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4375B"/>
    <w:multiLevelType w:val="multilevel"/>
    <w:tmpl w:val="98C8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018203">
    <w:abstractNumId w:val="6"/>
  </w:num>
  <w:num w:numId="2" w16cid:durableId="1683434459">
    <w:abstractNumId w:val="31"/>
  </w:num>
  <w:num w:numId="3" w16cid:durableId="880367284">
    <w:abstractNumId w:val="10"/>
  </w:num>
  <w:num w:numId="4" w16cid:durableId="1960987196">
    <w:abstractNumId w:val="30"/>
  </w:num>
  <w:num w:numId="5" w16cid:durableId="179467260">
    <w:abstractNumId w:val="12"/>
  </w:num>
  <w:num w:numId="6" w16cid:durableId="292519484">
    <w:abstractNumId w:val="28"/>
  </w:num>
  <w:num w:numId="7" w16cid:durableId="591862254">
    <w:abstractNumId w:val="8"/>
  </w:num>
  <w:num w:numId="8" w16cid:durableId="1283263359">
    <w:abstractNumId w:val="34"/>
  </w:num>
  <w:num w:numId="9" w16cid:durableId="2000577238">
    <w:abstractNumId w:val="18"/>
  </w:num>
  <w:num w:numId="10" w16cid:durableId="1377975214">
    <w:abstractNumId w:val="35"/>
  </w:num>
  <w:num w:numId="11" w16cid:durableId="41711354">
    <w:abstractNumId w:val="23"/>
  </w:num>
  <w:num w:numId="12" w16cid:durableId="1881629123">
    <w:abstractNumId w:val="16"/>
  </w:num>
  <w:num w:numId="13" w16cid:durableId="18750410">
    <w:abstractNumId w:val="22"/>
  </w:num>
  <w:num w:numId="14" w16cid:durableId="1130439120">
    <w:abstractNumId w:val="21"/>
  </w:num>
  <w:num w:numId="15" w16cid:durableId="1642298322">
    <w:abstractNumId w:val="25"/>
  </w:num>
  <w:num w:numId="16" w16cid:durableId="1628201634">
    <w:abstractNumId w:val="5"/>
  </w:num>
  <w:num w:numId="17" w16cid:durableId="773673719">
    <w:abstractNumId w:val="13"/>
  </w:num>
  <w:num w:numId="18" w16cid:durableId="727384965">
    <w:abstractNumId w:val="11"/>
  </w:num>
  <w:num w:numId="19" w16cid:durableId="1663855219">
    <w:abstractNumId w:val="14"/>
  </w:num>
  <w:num w:numId="20" w16cid:durableId="1397632472">
    <w:abstractNumId w:val="1"/>
  </w:num>
  <w:num w:numId="21" w16cid:durableId="1762337517">
    <w:abstractNumId w:val="33"/>
  </w:num>
  <w:num w:numId="22" w16cid:durableId="710224614">
    <w:abstractNumId w:val="9"/>
  </w:num>
  <w:num w:numId="23" w16cid:durableId="1765882482">
    <w:abstractNumId w:val="3"/>
  </w:num>
  <w:num w:numId="24" w16cid:durableId="1561283269">
    <w:abstractNumId w:val="24"/>
  </w:num>
  <w:num w:numId="25" w16cid:durableId="2132549832">
    <w:abstractNumId w:val="15"/>
  </w:num>
  <w:num w:numId="26" w16cid:durableId="76751987">
    <w:abstractNumId w:val="26"/>
  </w:num>
  <w:num w:numId="27" w16cid:durableId="1448114630">
    <w:abstractNumId w:val="7"/>
  </w:num>
  <w:num w:numId="28" w16cid:durableId="1747846892">
    <w:abstractNumId w:val="32"/>
  </w:num>
  <w:num w:numId="29" w16cid:durableId="1887254774">
    <w:abstractNumId w:val="20"/>
  </w:num>
  <w:num w:numId="30" w16cid:durableId="820318345">
    <w:abstractNumId w:val="0"/>
  </w:num>
  <w:num w:numId="31" w16cid:durableId="2074812058">
    <w:abstractNumId w:val="4"/>
  </w:num>
  <w:num w:numId="32" w16cid:durableId="633676667">
    <w:abstractNumId w:val="17"/>
  </w:num>
  <w:num w:numId="33" w16cid:durableId="762846611">
    <w:abstractNumId w:val="29"/>
  </w:num>
  <w:num w:numId="34" w16cid:durableId="145047848">
    <w:abstractNumId w:val="19"/>
  </w:num>
  <w:num w:numId="35" w16cid:durableId="1217200144">
    <w:abstractNumId w:val="27"/>
  </w:num>
  <w:num w:numId="36" w16cid:durableId="67373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C"/>
    <w:rsid w:val="00017C4E"/>
    <w:rsid w:val="000219F8"/>
    <w:rsid w:val="002243E0"/>
    <w:rsid w:val="004F1A91"/>
    <w:rsid w:val="004F294C"/>
    <w:rsid w:val="006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CF71"/>
  <w15:chartTrackingRefBased/>
  <w15:docId w15:val="{F16B7560-E576-4FE1-8B35-E6D4AB58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294C"/>
  </w:style>
  <w:style w:type="paragraph" w:styleId="Cmsor1">
    <w:name w:val="heading 1"/>
    <w:basedOn w:val="Norml"/>
    <w:next w:val="Norml"/>
    <w:link w:val="Cmsor1Char"/>
    <w:uiPriority w:val="9"/>
    <w:qFormat/>
    <w:rsid w:val="004F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294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294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29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29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29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29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29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29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294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294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294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F2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jt.hu/jogszabaly/2003-100-00-00" TargetMode="External"/><Relationship Id="rId21" Type="http://schemas.openxmlformats.org/officeDocument/2006/relationships/hyperlink" Target="https://njt.hu/jogszabaly/2003-100-00-00" TargetMode="External"/><Relationship Id="rId34" Type="http://schemas.openxmlformats.org/officeDocument/2006/relationships/hyperlink" Target="https://njt.hu/jogszabaly/2003-100-00-00" TargetMode="External"/><Relationship Id="rId42" Type="http://schemas.openxmlformats.org/officeDocument/2006/relationships/hyperlink" Target="https://njt.hu/jogszabaly/2010-29-20-8O" TargetMode="External"/><Relationship Id="rId47" Type="http://schemas.openxmlformats.org/officeDocument/2006/relationships/hyperlink" Target="https://njt.hu/jogszabaly/2013-25-20-2W" TargetMode="External"/><Relationship Id="rId50" Type="http://schemas.openxmlformats.org/officeDocument/2006/relationships/hyperlink" Target="https://njt.hu/jogszabaly/2022-424-20-22" TargetMode="External"/><Relationship Id="rId55" Type="http://schemas.openxmlformats.org/officeDocument/2006/relationships/hyperlink" Target="https://njt.hu/jogszabaly/1991-41-00-00" TargetMode="External"/><Relationship Id="rId63" Type="http://schemas.openxmlformats.org/officeDocument/2006/relationships/hyperlink" Target="https://njt.hu/jogszabaly/2004-1-00-00" TargetMode="External"/><Relationship Id="rId7" Type="http://schemas.openxmlformats.org/officeDocument/2006/relationships/hyperlink" Target="https://njt.hu/jogszabaly/2008-40-00-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jt.hu/jogszabaly/2003-100-00-00" TargetMode="External"/><Relationship Id="rId29" Type="http://schemas.openxmlformats.org/officeDocument/2006/relationships/hyperlink" Target="https://njt.hu/jogszabaly/2003-100-00-00" TargetMode="External"/><Relationship Id="rId11" Type="http://schemas.openxmlformats.org/officeDocument/2006/relationships/hyperlink" Target="https://njt.hu/jogszabaly/2003-100-00-00" TargetMode="External"/><Relationship Id="rId24" Type="http://schemas.openxmlformats.org/officeDocument/2006/relationships/hyperlink" Target="https://njt.hu/jogszabaly/2003-100-00-00" TargetMode="External"/><Relationship Id="rId32" Type="http://schemas.openxmlformats.org/officeDocument/2006/relationships/hyperlink" Target="https://njt.hu/jogszabaly/2003-100-00-00" TargetMode="External"/><Relationship Id="rId37" Type="http://schemas.openxmlformats.org/officeDocument/2006/relationships/hyperlink" Target="https://njt.hu/jogszabaly/1991-13-20-06" TargetMode="External"/><Relationship Id="rId40" Type="http://schemas.openxmlformats.org/officeDocument/2006/relationships/hyperlink" Target="https://njt.hu/jogszabaly/2009-62-20-1U" TargetMode="External"/><Relationship Id="rId45" Type="http://schemas.openxmlformats.org/officeDocument/2006/relationships/hyperlink" Target="https://njt.hu/jogszabaly/2023-9-20-06" TargetMode="External"/><Relationship Id="rId53" Type="http://schemas.openxmlformats.org/officeDocument/2006/relationships/hyperlink" Target="https://njt.hu/jogszabaly/2023-49-20-15" TargetMode="External"/><Relationship Id="rId58" Type="http://schemas.openxmlformats.org/officeDocument/2006/relationships/hyperlink" Target="https://njt.hu/jogszabaly/2021-100-00-00" TargetMode="External"/><Relationship Id="rId5" Type="http://schemas.openxmlformats.org/officeDocument/2006/relationships/hyperlink" Target="https://njt.hu/jogszabaly/1993-48-00-00" TargetMode="External"/><Relationship Id="rId61" Type="http://schemas.openxmlformats.org/officeDocument/2006/relationships/hyperlink" Target="https://njt.hu/jogszabaly/2022-424-20-22" TargetMode="External"/><Relationship Id="rId19" Type="http://schemas.openxmlformats.org/officeDocument/2006/relationships/hyperlink" Target="https://njt.hu/jogszabaly/2003-100-00-00" TargetMode="External"/><Relationship Id="rId14" Type="http://schemas.openxmlformats.org/officeDocument/2006/relationships/hyperlink" Target="https://njt.hu/jogszabaly/2003-100-00-00" TargetMode="External"/><Relationship Id="rId22" Type="http://schemas.openxmlformats.org/officeDocument/2006/relationships/hyperlink" Target="https://njt.hu/jogszabaly/2003-100-00-00" TargetMode="External"/><Relationship Id="rId27" Type="http://schemas.openxmlformats.org/officeDocument/2006/relationships/hyperlink" Target="https://njt.hu/jogszabaly/2003-100-00-00" TargetMode="External"/><Relationship Id="rId30" Type="http://schemas.openxmlformats.org/officeDocument/2006/relationships/hyperlink" Target="https://njt.hu/jogszabaly/2003-100-00-00" TargetMode="External"/><Relationship Id="rId35" Type="http://schemas.openxmlformats.org/officeDocument/2006/relationships/hyperlink" Target="https://njt.hu/jogszabaly/2003-100-00-00" TargetMode="External"/><Relationship Id="rId43" Type="http://schemas.openxmlformats.org/officeDocument/2006/relationships/hyperlink" Target="https://njt.hu/jogszabaly/2017-32-20-06" TargetMode="External"/><Relationship Id="rId48" Type="http://schemas.openxmlformats.org/officeDocument/2006/relationships/hyperlink" Target="https://njt.hu/jogszabaly/2020-45-20-7Q" TargetMode="External"/><Relationship Id="rId56" Type="http://schemas.openxmlformats.org/officeDocument/2006/relationships/hyperlink" Target="https://njt.hu/jogszabaly/1998-84-00-0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njt.hu/jogszabaly/2021-32-00-00" TargetMode="External"/><Relationship Id="rId51" Type="http://schemas.openxmlformats.org/officeDocument/2006/relationships/hyperlink" Target="https://njt.hu/jogszabaly/2004-1-00-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jt.hu/jogszabaly/2003-100-00-00" TargetMode="External"/><Relationship Id="rId17" Type="http://schemas.openxmlformats.org/officeDocument/2006/relationships/hyperlink" Target="https://njt.hu/jogszabaly/2003-100-00-00" TargetMode="External"/><Relationship Id="rId25" Type="http://schemas.openxmlformats.org/officeDocument/2006/relationships/hyperlink" Target="https://njt.hu/jogszabaly/2003-100-00-00" TargetMode="External"/><Relationship Id="rId33" Type="http://schemas.openxmlformats.org/officeDocument/2006/relationships/hyperlink" Target="https://njt.hu/jogszabaly/2003-100-00-00" TargetMode="External"/><Relationship Id="rId38" Type="http://schemas.openxmlformats.org/officeDocument/2006/relationships/hyperlink" Target="https://njt.hu/jogszabaly/2006-1-20-1U" TargetMode="External"/><Relationship Id="rId46" Type="http://schemas.openxmlformats.org/officeDocument/2006/relationships/hyperlink" Target="https://njt.hu/jogszabaly/2024-17-20-06" TargetMode="External"/><Relationship Id="rId59" Type="http://schemas.openxmlformats.org/officeDocument/2006/relationships/hyperlink" Target="https://njt.hu/jogszabaly/2025-65-20-22" TargetMode="External"/><Relationship Id="rId20" Type="http://schemas.openxmlformats.org/officeDocument/2006/relationships/hyperlink" Target="https://njt.hu/jogszabaly/2003-100-00-00" TargetMode="External"/><Relationship Id="rId41" Type="http://schemas.openxmlformats.org/officeDocument/2006/relationships/hyperlink" Target="https://njt.hu/jogszabaly/2010-21-20-1U" TargetMode="External"/><Relationship Id="rId54" Type="http://schemas.openxmlformats.org/officeDocument/2006/relationships/hyperlink" Target="https://njt.hu/jogszabaly/2023-100-00-00" TargetMode="External"/><Relationship Id="rId62" Type="http://schemas.openxmlformats.org/officeDocument/2006/relationships/hyperlink" Target="https://njt.hu/jogszabaly/2004-1-00-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06-26-00-00" TargetMode="External"/><Relationship Id="rId15" Type="http://schemas.openxmlformats.org/officeDocument/2006/relationships/hyperlink" Target="https://njt.hu/jogszabaly/2003-100-00-00" TargetMode="External"/><Relationship Id="rId23" Type="http://schemas.openxmlformats.org/officeDocument/2006/relationships/hyperlink" Target="https://njt.hu/jogszabaly/2003-100-00-00" TargetMode="External"/><Relationship Id="rId28" Type="http://schemas.openxmlformats.org/officeDocument/2006/relationships/hyperlink" Target="https://njt.hu/jogszabaly/2003-100-00-00" TargetMode="External"/><Relationship Id="rId36" Type="http://schemas.openxmlformats.org/officeDocument/2006/relationships/hyperlink" Target="https://njt.hu/jogszabaly/1991-41-00-00" TargetMode="External"/><Relationship Id="rId49" Type="http://schemas.openxmlformats.org/officeDocument/2006/relationships/hyperlink" Target="https://njt.hu/jogszabaly/2013-25-20-2W" TargetMode="External"/><Relationship Id="rId57" Type="http://schemas.openxmlformats.org/officeDocument/2006/relationships/hyperlink" Target="https://njt.hu/jogszabaly/2003-133-00-00" TargetMode="External"/><Relationship Id="rId10" Type="http://schemas.openxmlformats.org/officeDocument/2006/relationships/hyperlink" Target="https://njt.hu/jogszabaly/2003-100-00-00" TargetMode="External"/><Relationship Id="rId31" Type="http://schemas.openxmlformats.org/officeDocument/2006/relationships/hyperlink" Target="https://njt.hu/jogszabaly/2003-100-00-00" TargetMode="External"/><Relationship Id="rId44" Type="http://schemas.openxmlformats.org/officeDocument/2006/relationships/hyperlink" Target="https://njt.hu/jogszabaly/2019-29-20-06" TargetMode="External"/><Relationship Id="rId52" Type="http://schemas.openxmlformats.org/officeDocument/2006/relationships/hyperlink" Target="https://njt.hu/jogszabaly/2004-1-00-00" TargetMode="External"/><Relationship Id="rId60" Type="http://schemas.openxmlformats.org/officeDocument/2006/relationships/hyperlink" Target="https://njt.hu/jogszabaly/2011-37-20-22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03-100-00-00" TargetMode="External"/><Relationship Id="rId13" Type="http://schemas.openxmlformats.org/officeDocument/2006/relationships/hyperlink" Target="https://njt.hu/jogszabaly/2003-100-00-00" TargetMode="External"/><Relationship Id="rId18" Type="http://schemas.openxmlformats.org/officeDocument/2006/relationships/hyperlink" Target="https://njt.hu/jogszabaly/2003-100-00-00" TargetMode="External"/><Relationship Id="rId39" Type="http://schemas.openxmlformats.org/officeDocument/2006/relationships/hyperlink" Target="https://njt.hu/jogszabaly/2006-25-20-0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3917</Words>
  <Characters>27031</Characters>
  <Application>Microsoft Office Word</Application>
  <DocSecurity>0</DocSecurity>
  <Lines>225</Lines>
  <Paragraphs>61</Paragraphs>
  <ScaleCrop>false</ScaleCrop>
  <Company/>
  <LinksUpToDate>false</LinksUpToDate>
  <CharactersWithSpaces>30887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 Anita</dc:creator>
  <cp:keywords/>
  <dc:description/>
  <cp:lastModifiedBy>Keresztes Anita</cp:lastModifiedBy>
  <cp:revision>2</cp:revision>
  <dcterms:created xsi:type="dcterms:W3CDTF">2026-02-20T13:26:00Z</dcterms:created>
  <dcterms:modified xsi:type="dcterms:W3CDTF">2026-02-20T13:30:00Z</dcterms:modified>
</cp:coreProperties>
</file>